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45676">
      <w:pPr>
        <w:kinsoku/>
        <w:autoSpaceDE/>
        <w:autoSpaceDN/>
        <w:adjustRightInd/>
        <w:snapToGrid/>
        <w:spacing w:after="200" w:line="276" w:lineRule="auto"/>
        <w:contextualSpacing/>
        <w:jc w:val="center"/>
        <w:textAlignment w:val="auto"/>
        <w:outlineLvl w:val="2"/>
        <w:rPr>
          <w:rFonts w:hint="eastAsia" w:eastAsia="黑体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theme="minorHAnsi"/>
          <w:b/>
          <w:bCs/>
          <w:snapToGrid/>
          <w:sz w:val="28"/>
          <w:szCs w:val="28"/>
          <w:lang w:eastAsia="zh-CN"/>
        </w:rPr>
        <w:t>深圳麦当劳叔叔之家财务及行政专员岗位</w:t>
      </w:r>
      <w:r>
        <w:rPr>
          <w:rFonts w:hint="eastAsia" w:ascii="微软雅黑" w:hAnsi="微软雅黑" w:eastAsia="微软雅黑" w:cstheme="minorHAnsi"/>
          <w:b/>
          <w:bCs/>
          <w:snapToGrid/>
          <w:sz w:val="28"/>
          <w:szCs w:val="28"/>
          <w:lang w:val="en-US" w:eastAsia="zh-CN"/>
        </w:rPr>
        <w:t>职责</w:t>
      </w:r>
    </w:p>
    <w:p w14:paraId="5E71ED8B">
      <w:pPr>
        <w:spacing w:line="292" w:lineRule="auto"/>
        <w:rPr>
          <w:rFonts w:ascii="Arial"/>
          <w:sz w:val="21"/>
        </w:rPr>
      </w:pPr>
    </w:p>
    <w:p w14:paraId="6A2ECDCE">
      <w:pPr>
        <w:spacing w:line="292" w:lineRule="auto"/>
        <w:rPr>
          <w:rFonts w:ascii="Arial"/>
          <w:sz w:val="21"/>
        </w:rPr>
      </w:pPr>
    </w:p>
    <w:p w14:paraId="18D48662">
      <w:pPr>
        <w:spacing w:line="293" w:lineRule="auto"/>
        <w:rPr>
          <w:rFonts w:ascii="Arial"/>
          <w:sz w:val="21"/>
        </w:rPr>
      </w:pPr>
    </w:p>
    <w:p w14:paraId="2E176F4D">
      <w:pPr>
        <w:pStyle w:val="2"/>
        <w:spacing w:before="97" w:line="341" w:lineRule="auto"/>
        <w:ind w:right="14" w:firstLine="601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/>
          <w:bCs/>
          <w:snapToGrid/>
          <w:color w:val="000000"/>
          <w:kern w:val="0"/>
          <w:sz w:val="24"/>
          <w:szCs w:val="24"/>
          <w:lang w:val="en-US" w:eastAsia="zh-CN" w:bidi="ar-SA"/>
        </w:rPr>
        <w:t>深圳麦当劳叔叔之家财务及行政专员</w:t>
      </w: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是直接向深圳麦当劳叔叔之家(下面简称 “之家”)主任汇报工作的全职人员，隶属于</w:t>
      </w:r>
      <w:r>
        <w:rPr>
          <w:rFonts w:hint="eastAsia" w:ascii="微软雅黑" w:hAnsi="微软雅黑" w:eastAsia="微软雅黑" w:cstheme="minorHAnsi"/>
          <w:bCs/>
          <w:snapToGrid/>
          <w:color w:val="000000"/>
          <w:kern w:val="0"/>
          <w:sz w:val="24"/>
          <w:szCs w:val="24"/>
          <w:lang w:val="en-US" w:eastAsia="zh-CN" w:bidi="ar-SA"/>
        </w:rPr>
        <w:t>深圳市福田区麦当劳叔叔之家儿童家庭服务中心</w:t>
      </w: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，该职位负责深圳麦当劳叔叔之家的财务、行政及人事工作。</w:t>
      </w:r>
    </w:p>
    <w:p w14:paraId="433C0E47">
      <w:pPr>
        <w:rPr>
          <w:rFonts w:ascii="Arial"/>
          <w:sz w:val="21"/>
        </w:rPr>
      </w:pPr>
      <w:r>
        <w:rPr>
          <w:rFonts w:hint="eastAsia" w:ascii="微软雅黑" w:hAnsi="微软雅黑" w:eastAsia="微软雅黑" w:cstheme="minorHAnsi"/>
          <w:bCs/>
          <w:snapToGrid/>
          <w:color w:val="000000"/>
          <w:kern w:val="0"/>
          <w:sz w:val="24"/>
          <w:szCs w:val="24"/>
          <w:lang w:val="en-US" w:eastAsia="zh-CN" w:bidi="ar-SA"/>
        </w:rPr>
        <w:t>深圳市福田区麦当劳叔叔之家儿童家庭服务中心是</w:t>
      </w:r>
      <w:bookmarkStart w:id="0" w:name="_GoBack"/>
      <w:bookmarkEnd w:id="0"/>
      <w:r>
        <w:rPr>
          <w:rFonts w:hint="eastAsia" w:ascii="微软雅黑" w:hAnsi="微软雅黑" w:eastAsia="微软雅黑" w:cstheme="minorHAnsi"/>
          <w:bCs/>
          <w:snapToGrid/>
          <w:color w:val="000000"/>
          <w:kern w:val="0"/>
          <w:sz w:val="24"/>
          <w:szCs w:val="24"/>
          <w:lang w:val="en-US" w:eastAsia="zh-CN" w:bidi="ar-SA"/>
        </w:rPr>
        <w:t>深圳市福田区</w:t>
      </w:r>
      <w:r>
        <w:rPr>
          <w:rFonts w:hint="eastAsia" w:ascii="微软雅黑" w:hAnsi="微软雅黑" w:eastAsia="微软雅黑" w:cstheme="minorHAnsi"/>
          <w:bCs/>
          <w:snapToGrid/>
          <w:color w:val="000000"/>
          <w:kern w:val="0"/>
          <w:sz w:val="24"/>
          <w:szCs w:val="24"/>
          <w:lang w:val="en-US" w:eastAsia="zh-CN" w:bidi="ar-SA"/>
        </w:rPr>
        <w:t>民政局注册成立的民办非企业单位，旨在为异地就医的弱势儿童及其家庭提供一个家以外的家，为入住患儿及其家庭提供免费住宿和关爱服务。</w:t>
      </w:r>
    </w:p>
    <w:p w14:paraId="3DFFCC70">
      <w:pPr>
        <w:rPr>
          <w:rFonts w:ascii="Arial"/>
          <w:sz w:val="21"/>
        </w:rPr>
      </w:pPr>
    </w:p>
    <w:p w14:paraId="51EC1B16">
      <w:pPr>
        <w:rPr>
          <w:rFonts w:ascii="Arial"/>
          <w:sz w:val="21"/>
        </w:rPr>
      </w:pPr>
    </w:p>
    <w:p w14:paraId="25A5756A">
      <w:pPr>
        <w:kinsoku/>
        <w:autoSpaceDE/>
        <w:autoSpaceDN/>
        <w:adjustRightInd/>
        <w:snapToGrid/>
        <w:spacing w:after="0" w:line="360" w:lineRule="auto"/>
        <w:contextualSpacing/>
        <w:jc w:val="left"/>
        <w:textAlignment w:val="auto"/>
        <w:rPr>
          <w:rFonts w:ascii="Arial"/>
          <w:sz w:val="21"/>
        </w:rPr>
      </w:pPr>
      <w:r>
        <w:rPr>
          <w:rFonts w:hint="eastAsia" w:ascii="微软雅黑" w:hAnsi="微软雅黑" w:eastAsia="微软雅黑" w:cstheme="minorHAnsi"/>
          <w:b/>
          <w:bCs/>
          <w:snapToGrid/>
          <w:sz w:val="24"/>
          <w:szCs w:val="24"/>
          <w:lang w:eastAsia="zh-CN"/>
        </w:rPr>
        <w:t>主要工作职责：</w:t>
      </w:r>
    </w:p>
    <w:p w14:paraId="231AC9D9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负责财务相关管理工作；</w:t>
      </w:r>
    </w:p>
    <w:p w14:paraId="4073D8FE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负责捐赠物资及其他物资出入库的管理及记录；</w:t>
      </w:r>
    </w:p>
    <w:p w14:paraId="1A5EF0C7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负责处理人事相关工作；</w:t>
      </w:r>
    </w:p>
    <w:p w14:paraId="472F8F87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协作之家主任，管理日常行政事务性工作。</w:t>
      </w:r>
    </w:p>
    <w:p w14:paraId="363B9774">
      <w:pPr>
        <w:spacing w:line="282" w:lineRule="auto"/>
        <w:rPr>
          <w:rFonts w:ascii="Arial"/>
          <w:sz w:val="21"/>
        </w:rPr>
      </w:pPr>
    </w:p>
    <w:p w14:paraId="4A7E3087">
      <w:pPr>
        <w:spacing w:line="282" w:lineRule="auto"/>
        <w:rPr>
          <w:rFonts w:ascii="Arial"/>
          <w:sz w:val="21"/>
        </w:rPr>
      </w:pPr>
    </w:p>
    <w:p w14:paraId="58FD333F">
      <w:pPr>
        <w:spacing w:line="283" w:lineRule="auto"/>
        <w:rPr>
          <w:rFonts w:ascii="Arial"/>
          <w:sz w:val="21"/>
        </w:rPr>
      </w:pPr>
    </w:p>
    <w:p w14:paraId="31B15E2C">
      <w:pPr>
        <w:pStyle w:val="2"/>
        <w:spacing w:before="97" w:line="341" w:lineRule="auto"/>
        <w:ind w:right="14"/>
        <w:jc w:val="both"/>
        <w:rPr>
          <w:rFonts w:ascii="Arial"/>
          <w:sz w:val="21"/>
        </w:rPr>
      </w:pPr>
      <w:r>
        <w:rPr>
          <w:rFonts w:hint="eastAsia" w:ascii="微软雅黑" w:hAnsi="微软雅黑" w:eastAsia="微软雅黑" w:cstheme="minorHAnsi"/>
          <w:b/>
          <w:bCs/>
          <w:snapToGrid/>
          <w:color w:val="000000"/>
          <w:kern w:val="0"/>
          <w:sz w:val="24"/>
          <w:szCs w:val="24"/>
          <w:lang w:val="en-US" w:eastAsia="zh-CN" w:bidi="ar-SA"/>
        </w:rPr>
        <w:t>主要工作内容：</w:t>
      </w:r>
    </w:p>
    <w:p w14:paraId="33CC22C2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负责之家全面的账务管理及记账工作，完成全盘帐务处理；</w:t>
      </w:r>
    </w:p>
    <w:p w14:paraId="1AF61AAF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负责各类成本的核算和控制，审核采购费用；</w:t>
      </w:r>
    </w:p>
    <w:p w14:paraId="0A6AC6AC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负责编制之家各类财务凭证、进行帐务核对，编制财务报表及财务分析；</w:t>
      </w:r>
    </w:p>
    <w:p w14:paraId="6B872DF2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负责之家全职人员的社保等相关保险的缴纳及续签；</w:t>
      </w:r>
    </w:p>
    <w:p w14:paraId="3B36B839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负责及各类证件、执照的年审工作及档案管理工作；</w:t>
      </w:r>
    </w:p>
    <w:p w14:paraId="360E4E1C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负责年度所得税汇算清缴工作及财务年审工作，加强与之家外部及相关政府 部门的沟通和联络工作；</w:t>
      </w:r>
    </w:p>
    <w:p w14:paraId="1CB5735C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与之家主任，共同制定之家的财务管理制度及规范，以及行政管理的要求和流程；</w:t>
      </w:r>
    </w:p>
    <w:p w14:paraId="53627874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协助之家主任制定财务预算，及决算报告；</w:t>
      </w:r>
    </w:p>
    <w:p w14:paraId="047B4107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做好捐赠物品的核算登记工作，梳理捐赠管理系统；</w:t>
      </w:r>
    </w:p>
    <w:p w14:paraId="4C1AF5C0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确保入住家庭，工作人员，志愿者相关保险的购买及续签，并与保险公司保 持良好的沟通；</w:t>
      </w:r>
    </w:p>
    <w:p w14:paraId="0F17DC13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确保房屋和技术系统保养合同保存完整及续签；</w:t>
      </w:r>
    </w:p>
    <w:p w14:paraId="349EADC7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固定资产管理；</w:t>
      </w:r>
    </w:p>
    <w:p w14:paraId="2F6AF56E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找出财务管理机会点，制定行之有效的改善计划并有效实施；</w:t>
      </w:r>
    </w:p>
    <w:p w14:paraId="34F6EA9A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与营运专员共同负责之家物资的出入库管理；</w:t>
      </w:r>
    </w:p>
    <w:p w14:paraId="777F4469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协助之家主任，负责机构日常行政事务。</w:t>
      </w:r>
    </w:p>
    <w:p w14:paraId="5A5D3D1D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遵循并执行全球麦基金的相关的财务政策规则及程序；</w:t>
      </w:r>
    </w:p>
    <w:p w14:paraId="695DEDD1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遵循并执行符合本地的法律法规及相关政府部门的财务及税务要求；</w:t>
      </w:r>
    </w:p>
    <w:p w14:paraId="01E18EBC">
      <w:pPr>
        <w:spacing w:line="277" w:lineRule="auto"/>
        <w:rPr>
          <w:rFonts w:ascii="Arial"/>
          <w:sz w:val="21"/>
        </w:rPr>
      </w:pPr>
    </w:p>
    <w:p w14:paraId="2EE2BF0E">
      <w:pPr>
        <w:spacing w:line="277" w:lineRule="auto"/>
        <w:rPr>
          <w:rFonts w:ascii="Arial"/>
          <w:sz w:val="21"/>
        </w:rPr>
      </w:pPr>
    </w:p>
    <w:p w14:paraId="5F8D93AD">
      <w:pPr>
        <w:spacing w:line="278" w:lineRule="auto"/>
        <w:rPr>
          <w:rFonts w:ascii="Arial"/>
          <w:sz w:val="21"/>
        </w:rPr>
      </w:pPr>
    </w:p>
    <w:p w14:paraId="3FA7D97B">
      <w:pPr>
        <w:spacing w:line="278" w:lineRule="auto"/>
        <w:rPr>
          <w:rFonts w:ascii="Arial"/>
          <w:sz w:val="21"/>
        </w:rPr>
      </w:pPr>
    </w:p>
    <w:p w14:paraId="5A7A9388">
      <w:pPr>
        <w:pStyle w:val="2"/>
        <w:spacing w:before="97" w:line="341" w:lineRule="auto"/>
        <w:ind w:right="14"/>
        <w:jc w:val="both"/>
        <w:rPr>
          <w:rFonts w:ascii="Arial"/>
          <w:sz w:val="21"/>
        </w:rPr>
      </w:pPr>
      <w:r>
        <w:rPr>
          <w:rFonts w:hint="eastAsia" w:ascii="微软雅黑" w:hAnsi="微软雅黑" w:eastAsia="微软雅黑" w:cstheme="minorHAnsi"/>
          <w:b/>
          <w:bCs/>
          <w:snapToGrid/>
          <w:color w:val="000000"/>
          <w:kern w:val="0"/>
          <w:sz w:val="24"/>
          <w:szCs w:val="24"/>
          <w:lang w:val="en-US" w:eastAsia="zh-CN" w:bidi="ar-SA"/>
        </w:rPr>
        <w:t>主要考核目标：</w:t>
      </w:r>
    </w:p>
    <w:p w14:paraId="55CCB3FC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确保财务账目完整，准确；</w:t>
      </w:r>
    </w:p>
    <w:p w14:paraId="7385C3B5">
      <w:pPr>
        <w:pStyle w:val="2"/>
        <w:numPr>
          <w:ilvl w:val="0"/>
          <w:numId w:val="1"/>
        </w:numPr>
        <w:spacing w:before="97" w:line="341" w:lineRule="auto"/>
        <w:ind w:left="420" w:leftChars="0" w:right="14" w:hanging="420" w:firstLineChars="0"/>
        <w:jc w:val="both"/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HAnsi"/>
          <w:bCs/>
          <w:snapToGrid/>
          <w:kern w:val="0"/>
          <w:sz w:val="24"/>
          <w:szCs w:val="24"/>
          <w:lang w:val="en-US" w:eastAsia="zh-CN" w:bidi="ar-SA"/>
        </w:rPr>
        <w:t>确保之家通过财务及基金会年审。</w:t>
      </w:r>
    </w:p>
    <w:sectPr>
      <w:pgSz w:w="15329" w:h="31681"/>
      <w:pgMar w:top="1446" w:right="2247" w:bottom="0" w:left="22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A53070"/>
    <w:multiLevelType w:val="singleLevel"/>
    <w:tmpl w:val="65A5307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WNiNTIzMDZmYzY3MjJiYmJlMjZmN2Y1ODAzYjliNTYifQ=="/>
  </w:docVars>
  <w:rsids>
    <w:rsidRoot w:val="00000000"/>
    <w:rsid w:val="262842B3"/>
    <w:rsid w:val="2CFA1D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750</Words>
  <Characters>750</Characters>
  <TotalTime>6</TotalTime>
  <ScaleCrop>false</ScaleCrop>
  <LinksUpToDate>false</LinksUpToDate>
  <CharactersWithSpaces>756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2024-11-12T09:25:00Z</dcterms:created>
  <dc:creator>Kingsoft-PDF</dc:creator>
  <cp:lastModifiedBy>宁静</cp:lastModifiedBy>
  <dcterms:modified xsi:type="dcterms:W3CDTF">2025-10-22T01:16:08Z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2024-11-12T09:25:59Z</vt:filetime>
  </property>
  <property fmtid="{D5CDD505-2E9C-101B-9397-08002B2CF9AE}" pid="4" name="UsrData">
    <vt:lpwstr>6732aea20712c10020d22890wl</vt:lpwstr>
  </property>
  <property fmtid="{D5CDD505-2E9C-101B-9397-08002B2CF9AE}" pid="5" name="KSOProductBuildVer">
    <vt:lpwstr>2052-12.1.0.22529</vt:lpwstr>
  </property>
  <property fmtid="{D5CDD505-2E9C-101B-9397-08002B2CF9AE}" pid="6" name="ICV">
    <vt:lpwstr>2E246B756B864A0FAA3CB4F0D3CE9AD4_12</vt:lpwstr>
  </property>
  <property fmtid="{D5CDD505-2E9C-101B-9397-08002B2CF9AE}" pid="7" name="KSOTemplateDocerSaveRecord">
    <vt:lpwstr>eyJoZGlkIjoiYjlkZThjMDhhMmEyM2Q5OWY0OTdiODlhMzM4YzBlYzUiLCJ1c2VySWQiOiI0NjEzNDE2MzQifQ==</vt:lpwstr>
  </property>
</Properties>
</file>