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4"/>
          <w:szCs w:val="24"/>
          <w:lang w:eastAsia="zh-CN"/>
        </w:rPr>
      </w:pPr>
      <w:r>
        <w:rPr>
          <w:rFonts w:hint="eastAsia" w:ascii="Times New Roman" w:hAnsi="Times New Roman"/>
          <w:sz w:val="24"/>
          <w:szCs w:val="24"/>
          <w:lang w:eastAsia="zh-CN"/>
        </w:rPr>
        <w:t>发展简报创办于1996年，是一个为公益慈善行业提供专业的观察、研究、网络平台支持与服务的中英文双语平台。2017年3月注册为北京益行公益信息交流服务中心。2022年通过国际权威评估机构SGS的全球NGO对标审核认证，2022年获评北京市民政局4A级社会组织，2023年6月获得联合国特殊咨商地位批准，机构治理标准已达到国际先进水平。</w:t>
      </w: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愿       景：交流，让公益走进每个人的生活。</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使       命：通过信息交流和资源对接，推动公益行业可持续发展。</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价  值 观：平等、包容、开放</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服务理念：专业前沿、理性客观、价值导向</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机构定位：公益交流与对接的领航者</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口       号：连接公益，共享价值</w:t>
      </w: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二、招聘岗位：执行主任</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希望你：</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1)硕士以上学历， 最好有海外留学背景</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2)发展类或管理类相关专业</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3)相关发展项目工作3年以上经验</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4) 英语听说读写能力优秀， 例如可以独立完成项目书撰写和项目独立申请等；</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5) 高度认可机构宗旨使命。</w:t>
      </w: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三、岗位职责和工作内容：</w:t>
      </w:r>
    </w:p>
    <w:tbl>
      <w:tblPr>
        <w:tblStyle w:val="13"/>
        <w:tblW w:w="96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7416"/>
      </w:tblGrid>
      <w:tr>
        <w:tc>
          <w:tcPr>
            <w:tcW w:w="2252" w:type="dxa"/>
            <w:shd w:val="clear" w:color="auto" w:fill="C0C0C0"/>
            <w:tcMar>
              <w:top w:w="57" w:type="dxa"/>
            </w:tcMar>
            <w:vAlign w:val="center"/>
          </w:tcPr>
          <w:p>
            <w:pPr>
              <w:spacing w:before="40" w:after="40"/>
              <w:rPr>
                <w:rFonts w:hint="eastAsia" w:asciiTheme="minorEastAsia" w:hAnsiTheme="minorEastAsia" w:eastAsiaTheme="minorEastAsia" w:cstheme="minorHAnsi"/>
                <w:b/>
              </w:rPr>
            </w:pPr>
            <w:r>
              <w:rPr>
                <w:rFonts w:hint="eastAsia" w:asciiTheme="minorEastAsia" w:hAnsiTheme="minorEastAsia" w:eastAsiaTheme="minorEastAsia" w:cstheme="minorHAnsi"/>
                <w:b/>
                <w:lang w:eastAsia="zh-CN"/>
              </w:rPr>
              <w:t>职责领域</w:t>
            </w:r>
            <w:r>
              <w:rPr>
                <w:rFonts w:asciiTheme="minorEastAsia" w:hAnsiTheme="minorEastAsia" w:eastAsiaTheme="minorEastAsia" w:cstheme="minorHAnsi"/>
                <w:b/>
              </w:rPr>
              <w:t>:</w:t>
            </w:r>
          </w:p>
        </w:tc>
        <w:tc>
          <w:tcPr>
            <w:tcW w:w="7416" w:type="dxa"/>
            <w:shd w:val="clear" w:color="auto" w:fill="BFBFBF"/>
            <w:tcMar>
              <w:top w:w="113" w:type="dxa"/>
              <w:bottom w:w="113" w:type="dxa"/>
            </w:tcMar>
            <w:vAlign w:val="center"/>
          </w:tcPr>
          <w:p>
            <w:pPr>
              <w:jc w:val="center"/>
              <w:rPr>
                <w:rFonts w:hint="eastAsia" w:asciiTheme="minorEastAsia" w:hAnsiTheme="minorEastAsia" w:eastAsiaTheme="minorEastAsia" w:cstheme="minorHAnsi"/>
                <w:b/>
                <w:lang w:eastAsia="zh-CN"/>
              </w:rPr>
            </w:pPr>
            <w:r>
              <w:rPr>
                <w:rFonts w:hint="eastAsia" w:asciiTheme="minorEastAsia" w:hAnsiTheme="minorEastAsia" w:eastAsiaTheme="minorEastAsia" w:cstheme="minorHAnsi"/>
                <w:b/>
                <w:lang w:eastAsia="zh-CN"/>
              </w:rPr>
              <w:t>主要工作职责</w:t>
            </w:r>
          </w:p>
        </w:tc>
      </w:tr>
      <w:tr>
        <w:tc>
          <w:tcPr>
            <w:tcW w:w="2252" w:type="dxa"/>
            <w:shd w:val="clear" w:color="auto" w:fill="FFFFFF"/>
            <w:tcMar>
              <w:top w:w="57" w:type="dxa"/>
            </w:tcMar>
          </w:tcPr>
          <w:p>
            <w:pPr>
              <w:rPr>
                <w:rFonts w:hint="eastAsia" w:asciiTheme="minorEastAsia" w:hAnsiTheme="minorEastAsia" w:eastAsiaTheme="minorEastAsia" w:cstheme="minorHAnsi"/>
                <w:color w:val="000000" w:themeColor="dark1"/>
                <w:kern w:val="24"/>
                <w:lang w:eastAsia="zh-CN"/>
                <w14:textFill>
                  <w14:solidFill>
                    <w14:schemeClr w14:val="dk1"/>
                  </w14:solidFill>
                </w14:textFill>
              </w:rPr>
            </w:pPr>
            <w:r>
              <w:rPr>
                <w:rFonts w:hint="eastAsia" w:asciiTheme="minorEastAsia" w:hAnsiTheme="minorEastAsia" w:eastAsiaTheme="minorEastAsia" w:cstheme="minorHAnsi"/>
                <w:color w:val="000000" w:themeColor="dark1"/>
                <w:kern w:val="24"/>
                <w:lang w:eastAsia="zh-CN"/>
                <w14:textFill>
                  <w14:solidFill>
                    <w14:schemeClr w14:val="dk1"/>
                  </w14:solidFill>
                </w14:textFill>
              </w:rPr>
              <w:t>与理事会相关工作</w:t>
            </w:r>
          </w:p>
        </w:tc>
        <w:tc>
          <w:tcPr>
            <w:tcW w:w="7416" w:type="dxa"/>
            <w:tcBorders>
              <w:bottom w:val="single" w:color="auto" w:sz="4" w:space="0"/>
            </w:tcBorders>
            <w:shd w:val="clear" w:color="auto" w:fill="FFFFFF"/>
            <w:tcMar>
              <w:top w:w="113" w:type="dxa"/>
              <w:bottom w:w="113" w:type="dxa"/>
            </w:tcMar>
            <w:vAlign w:val="center"/>
          </w:tcPr>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协助理事长准备理事会会议议程，并列席理事会会议。</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落实理事会决议并定期向理事会报告落实的结果或进展。</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就可能影响简报发展的国家政策、法律法规、简报内外部重大事件或环境变化提请理事会注意，并提出应对建议或方案。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shd w:val="clear" w:color="auto" w:fill="FFFFFF"/>
            <w:tcMar>
              <w:top w:w="57" w:type="dxa"/>
            </w:tcMar>
          </w:tcPr>
          <w:p>
            <w:pPr>
              <w:rPr>
                <w:rFonts w:hint="eastAsia" w:asciiTheme="minorEastAsia" w:hAnsiTheme="minorEastAsia" w:eastAsiaTheme="minorEastAsia" w:cstheme="minorHAnsi"/>
                <w:color w:val="000000" w:themeColor="dark1"/>
                <w:kern w:val="24"/>
                <w:lang w:eastAsia="zh-CN"/>
                <w14:textFill>
                  <w14:solidFill>
                    <w14:schemeClr w14:val="dk1"/>
                  </w14:solidFill>
                </w14:textFill>
              </w:rPr>
            </w:pPr>
            <w:r>
              <w:rPr>
                <w:rFonts w:hint="eastAsia" w:asciiTheme="minorEastAsia" w:hAnsiTheme="minorEastAsia" w:eastAsiaTheme="minorEastAsia" w:cstheme="minorHAnsi"/>
                <w:color w:val="000000" w:themeColor="dark1"/>
                <w:kern w:val="24"/>
                <w:lang w:eastAsia="zh-CN"/>
                <w14:textFill>
                  <w14:solidFill>
                    <w14:schemeClr w14:val="dk1"/>
                  </w14:solidFill>
                </w14:textFill>
              </w:rPr>
              <w:t>机构战略方向和政策掌控</w:t>
            </w:r>
          </w:p>
        </w:tc>
        <w:tc>
          <w:tcPr>
            <w:tcW w:w="7416" w:type="dxa"/>
            <w:tcBorders>
              <w:bottom w:val="single" w:color="auto" w:sz="4" w:space="0"/>
            </w:tcBorders>
            <w:shd w:val="clear" w:color="auto" w:fill="FFFFFF"/>
            <w:tcMar>
              <w:top w:w="113" w:type="dxa"/>
              <w:bottom w:w="113" w:type="dxa"/>
            </w:tcMar>
            <w:vAlign w:val="center"/>
          </w:tcPr>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确保简报一切运作符合简报章程和国家有关政策和法规，特别是慈善法和非盈利组织会计法。</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确保简报的工作重心和方向符合理事会批准的战略计划。</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确保理事会决议得到严格遵守和执行。</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建立简报规范运作的政策和程序，并在理事会批准后负责组织实施。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Borders>
              <w:right w:val="single" w:color="auto" w:sz="4" w:space="0"/>
            </w:tcBorders>
            <w:shd w:val="clear" w:color="auto" w:fill="FFFFFF"/>
            <w:tcMar>
              <w:top w:w="57" w:type="dxa"/>
            </w:tcMar>
          </w:tcPr>
          <w:p>
            <w:pPr>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color w:val="000000" w:themeColor="dark1"/>
                <w:kern w:val="24"/>
                <w:lang w:eastAsia="zh-CN"/>
                <w14:textFill>
                  <w14:solidFill>
                    <w14:schemeClr w14:val="dk1"/>
                  </w14:solidFill>
                </w14:textFill>
              </w:rPr>
              <w:t>机构工作规划、实施与报告</w:t>
            </w:r>
          </w:p>
        </w:tc>
        <w:tc>
          <w:tcPr>
            <w:tcW w:w="7416" w:type="dxa"/>
            <w:tcBorders>
              <w:top w:val="single" w:color="auto" w:sz="4" w:space="0"/>
              <w:left w:val="single" w:color="auto" w:sz="4" w:space="0"/>
              <w:bottom w:val="single" w:color="auto" w:sz="4" w:space="0"/>
              <w:right w:val="single" w:color="auto" w:sz="4" w:space="0"/>
            </w:tcBorders>
            <w:shd w:val="clear" w:color="auto" w:fill="FFFFFF"/>
            <w:tcMar>
              <w:top w:w="113" w:type="dxa"/>
              <w:bottom w:w="113" w:type="dxa"/>
            </w:tcMar>
          </w:tcPr>
          <w:p>
            <w:pPr>
              <w:ind w:left="360"/>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带领简报执行团队：</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起草简报5年战略规划报理事会审批；并在理事会批准后负责组织实施。</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根据5年战略规划起草简报的年度工作计划及其预算报理事会审批；并在理事会批准后负责组织实施。</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向理事会就简报年度工作计划及预算的实施情况撰写半年和年度工作报告以及机构年报。</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确保相关部门在简报年度规划的框架下制定和实施部门年度工作计划。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Borders>
              <w:right w:val="single" w:color="auto" w:sz="4" w:space="0"/>
            </w:tcBorders>
            <w:shd w:val="clear" w:color="auto" w:fill="FFFFFF"/>
            <w:tcMar>
              <w:top w:w="57" w:type="dxa"/>
            </w:tcMar>
          </w:tcPr>
          <w:p>
            <w:pPr>
              <w:rPr>
                <w:rFonts w:hint="eastAsia" w:asciiTheme="minorEastAsia" w:hAnsiTheme="minorEastAsia" w:eastAsiaTheme="minorEastAsia" w:cstheme="minorHAnsi"/>
                <w:color w:val="000000" w:themeColor="dark1"/>
                <w:kern w:val="24"/>
                <w:lang w:eastAsia="zh-CN"/>
                <w14:textFill>
                  <w14:solidFill>
                    <w14:schemeClr w14:val="dk1"/>
                  </w14:solidFill>
                </w14:textFill>
              </w:rPr>
            </w:pPr>
            <w:r>
              <w:rPr>
                <w:rFonts w:hint="eastAsia" w:asciiTheme="minorEastAsia" w:hAnsiTheme="minorEastAsia" w:eastAsiaTheme="minorEastAsia" w:cstheme="minorHAnsi"/>
                <w:color w:val="000000" w:themeColor="dark1"/>
                <w:kern w:val="24"/>
                <w:lang w:eastAsia="zh-CN"/>
                <w14:textFill>
                  <w14:solidFill>
                    <w14:schemeClr w14:val="dk1"/>
                  </w14:solidFill>
                </w14:textFill>
              </w:rPr>
              <w:t>机构传播督导</w:t>
            </w:r>
          </w:p>
        </w:tc>
        <w:tc>
          <w:tcPr>
            <w:tcW w:w="7416" w:type="dxa"/>
            <w:tcBorders>
              <w:top w:val="single" w:color="auto" w:sz="4" w:space="0"/>
              <w:left w:val="single" w:color="auto" w:sz="4" w:space="0"/>
              <w:bottom w:val="single" w:color="auto" w:sz="4" w:space="0"/>
              <w:right w:val="single" w:color="auto" w:sz="4" w:space="0"/>
            </w:tcBorders>
            <w:shd w:val="clear" w:color="auto" w:fill="FFFFFF"/>
            <w:tcMar>
              <w:top w:w="113" w:type="dxa"/>
              <w:bottom w:w="113" w:type="dxa"/>
            </w:tcMar>
          </w:tcPr>
          <w:p>
            <w:pPr>
              <w:jc w:val="both"/>
              <w:rPr>
                <w:rFonts w:hint="eastAsia" w:asciiTheme="minorEastAsia" w:hAnsiTheme="minorEastAsia" w:eastAsiaTheme="minorEastAsia" w:cstheme="minorHAnsi"/>
                <w:szCs w:val="21"/>
                <w:lang w:eastAsia="zh-CN"/>
              </w:rPr>
            </w:pPr>
            <w:r>
              <w:rPr>
                <w:rFonts w:hint="eastAsia" w:asciiTheme="minorEastAsia" w:hAnsiTheme="minorEastAsia" w:eastAsiaTheme="minorEastAsia" w:cstheme="minorHAnsi"/>
                <w:szCs w:val="21"/>
                <w:lang w:eastAsia="zh-CN"/>
              </w:rPr>
              <w:t>在传播人员的帮助下，确保简报传播平台功能在行业内的引领性和有效性。为此：</w:t>
            </w:r>
          </w:p>
          <w:p>
            <w:pPr>
              <w:pStyle w:val="32"/>
              <w:numPr>
                <w:ilvl w:val="0"/>
                <w:numId w:val="2"/>
              </w:numPr>
              <w:jc w:val="both"/>
              <w:rPr>
                <w:rFonts w:hint="eastAsia" w:asciiTheme="minorEastAsia" w:hAnsiTheme="minorEastAsia" w:eastAsiaTheme="minorEastAsia" w:cstheme="minorHAnsi"/>
                <w:sz w:val="21"/>
                <w:szCs w:val="21"/>
                <w:lang w:eastAsia="zh-CN"/>
              </w:rPr>
            </w:pPr>
            <w:r>
              <w:rPr>
                <w:rFonts w:hint="eastAsia" w:asciiTheme="minorEastAsia" w:hAnsiTheme="minorEastAsia" w:eastAsiaTheme="minorEastAsia" w:cstheme="minorHAnsi"/>
                <w:sz w:val="21"/>
                <w:szCs w:val="21"/>
                <w:lang w:eastAsia="zh-CN"/>
              </w:rPr>
              <w:t>确保转载和原创中英文文章和资讯的方向、合法性、和质量。包括符合机构的战略方向、避免国家的政治敏感、确保转载文章及资讯来源的合法性、具备行业的独特视角和专业性；</w:t>
            </w:r>
          </w:p>
          <w:p>
            <w:pPr>
              <w:pStyle w:val="32"/>
              <w:numPr>
                <w:ilvl w:val="0"/>
                <w:numId w:val="2"/>
              </w:numPr>
              <w:jc w:val="both"/>
              <w:rPr>
                <w:rFonts w:hint="eastAsia" w:asciiTheme="minorEastAsia" w:hAnsiTheme="minorEastAsia" w:eastAsiaTheme="minorEastAsia" w:cstheme="minorHAnsi"/>
                <w:sz w:val="21"/>
                <w:szCs w:val="21"/>
                <w:lang w:eastAsia="zh-CN"/>
              </w:rPr>
            </w:pPr>
            <w:r>
              <w:rPr>
                <w:rFonts w:hint="eastAsia" w:asciiTheme="minorEastAsia" w:hAnsiTheme="minorEastAsia" w:eastAsiaTheme="minorEastAsia" w:cstheme="minorHAnsi"/>
                <w:sz w:val="21"/>
                <w:szCs w:val="21"/>
                <w:lang w:eastAsia="zh-CN"/>
              </w:rPr>
              <w:t>确保简报传播的效率和效果。包括确保足量的传播资讯（特别是原创资讯和文章），传播资讯的时效性，针对目标读者需求的精准性，和视角的独特性。</w:t>
            </w:r>
          </w:p>
          <w:p>
            <w:pPr>
              <w:pStyle w:val="32"/>
              <w:numPr>
                <w:ilvl w:val="0"/>
                <w:numId w:val="2"/>
              </w:numPr>
              <w:jc w:val="both"/>
              <w:rPr>
                <w:rFonts w:hint="eastAsia" w:asciiTheme="minorEastAsia" w:hAnsiTheme="minorEastAsia" w:eastAsiaTheme="minorEastAsia" w:cstheme="minorHAnsi"/>
                <w:sz w:val="21"/>
                <w:szCs w:val="21"/>
                <w:lang w:eastAsia="zh-CN"/>
              </w:rPr>
            </w:pPr>
            <w:r>
              <w:rPr>
                <w:rFonts w:hint="eastAsia" w:asciiTheme="minorEastAsia" w:hAnsiTheme="minorEastAsia" w:eastAsiaTheme="minorEastAsia" w:cstheme="minorHAnsi"/>
                <w:sz w:val="21"/>
                <w:szCs w:val="21"/>
                <w:lang w:eastAsia="zh-CN"/>
              </w:rPr>
              <w:t>建立和运行相应机制，确保简报媒体传播的可持续性。包括原创文章及其来源的可持续性和媒体部自身在组稿、采编、和资讯推荐等方面的可持续性。</w:t>
            </w:r>
          </w:p>
          <w:p>
            <w:pPr>
              <w:pStyle w:val="32"/>
              <w:numPr>
                <w:ilvl w:val="0"/>
                <w:numId w:val="2"/>
              </w:numPr>
              <w:jc w:val="both"/>
              <w:rPr>
                <w:rFonts w:hint="eastAsia" w:asciiTheme="minorEastAsia" w:hAnsiTheme="minorEastAsia" w:eastAsiaTheme="minorEastAsia" w:cstheme="minorHAnsi"/>
                <w:sz w:val="24"/>
                <w:szCs w:val="24"/>
                <w:lang w:eastAsia="zh-CN"/>
              </w:rPr>
            </w:pPr>
            <w:r>
              <w:rPr>
                <w:rFonts w:hint="eastAsia" w:asciiTheme="minorEastAsia" w:hAnsiTheme="minorEastAsia" w:eastAsiaTheme="minorEastAsia" w:cstheme="minorHAnsi"/>
                <w:sz w:val="21"/>
                <w:szCs w:val="21"/>
                <w:lang w:eastAsia="zh-CN"/>
              </w:rPr>
              <w:t>及时了解行业动向和趋势，并确保媒体传播手段与时俱进。包括网站功能的跟进和新媒体的应用。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Borders>
              <w:right w:val="single" w:color="auto" w:sz="4" w:space="0"/>
            </w:tcBorders>
            <w:shd w:val="clear" w:color="auto" w:fill="FFFFFF"/>
            <w:tcMar>
              <w:top w:w="57" w:type="dxa"/>
            </w:tcMar>
          </w:tcPr>
          <w:p>
            <w:pPr>
              <w:rPr>
                <w:rFonts w:hint="eastAsia" w:asciiTheme="minorEastAsia" w:hAnsiTheme="minorEastAsia" w:eastAsiaTheme="minorEastAsia" w:cstheme="minorHAnsi"/>
                <w:color w:val="000000" w:themeColor="dark1"/>
                <w:kern w:val="24"/>
                <w:lang w:eastAsia="zh-CN"/>
                <w14:textFill>
                  <w14:solidFill>
                    <w14:schemeClr w14:val="dk1"/>
                  </w14:solidFill>
                </w14:textFill>
              </w:rPr>
            </w:pPr>
            <w:r>
              <w:rPr>
                <w:rFonts w:hint="eastAsia" w:asciiTheme="minorEastAsia" w:hAnsiTheme="minorEastAsia" w:eastAsiaTheme="minorEastAsia" w:cstheme="minorHAnsi"/>
                <w:color w:val="000000" w:themeColor="dark1"/>
                <w:kern w:val="24"/>
                <w:lang w:eastAsia="zh-CN"/>
                <w14:textFill>
                  <w14:solidFill>
                    <w14:schemeClr w14:val="dk1"/>
                  </w14:solidFill>
                </w14:textFill>
              </w:rPr>
              <w:t>机构公关宣传与新业务拓展</w:t>
            </w:r>
          </w:p>
        </w:tc>
        <w:tc>
          <w:tcPr>
            <w:tcW w:w="7416" w:type="dxa"/>
            <w:tcBorders>
              <w:top w:val="single" w:color="auto" w:sz="4" w:space="0"/>
              <w:left w:val="single" w:color="auto" w:sz="4" w:space="0"/>
              <w:bottom w:val="single" w:color="auto" w:sz="4" w:space="0"/>
              <w:right w:val="single" w:color="auto" w:sz="4" w:space="0"/>
            </w:tcBorders>
            <w:shd w:val="clear" w:color="auto" w:fill="FFFFFF"/>
            <w:tcMar>
              <w:top w:w="113" w:type="dxa"/>
              <w:bottom w:w="113" w:type="dxa"/>
            </w:tcMar>
          </w:tcPr>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对外宣传与联络，开拓简报的资源与发展空间。包括拓展对外关系、开发资金资源、建立合作联盟与平台等。</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根据机构战略计划，开发新业务和新项目。</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制定相应的风险和危机管理机制，确保简报的有关风险和危机得到有效预防和管理。</w:t>
            </w:r>
          </w:p>
          <w:p>
            <w:pPr>
              <w:numPr>
                <w:ilvl w:val="0"/>
                <w:numId w:val="1"/>
              </w:numPr>
              <w:spacing w:after="0" w:line="240" w:lineRule="auto"/>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建立和维护资助者关系。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Borders>
              <w:right w:val="single" w:color="auto" w:sz="4" w:space="0"/>
            </w:tcBorders>
            <w:shd w:val="clear" w:color="auto" w:fill="FFFFFF"/>
            <w:tcMar>
              <w:top w:w="57" w:type="dxa"/>
            </w:tcMar>
          </w:tcPr>
          <w:p>
            <w:pPr>
              <w:rPr>
                <w:rFonts w:hint="eastAsia" w:asciiTheme="minorEastAsia" w:hAnsiTheme="minorEastAsia" w:eastAsiaTheme="minorEastAsia" w:cstheme="minorHAnsi"/>
                <w:color w:val="000000" w:themeColor="dark1"/>
                <w:kern w:val="24"/>
                <w:lang w:eastAsia="zh-CN"/>
                <w14:textFill>
                  <w14:solidFill>
                    <w14:schemeClr w14:val="dk1"/>
                  </w14:solidFill>
                </w14:textFill>
              </w:rPr>
            </w:pPr>
            <w:r>
              <w:rPr>
                <w:rFonts w:hint="eastAsia" w:asciiTheme="minorEastAsia" w:hAnsiTheme="minorEastAsia" w:eastAsiaTheme="minorEastAsia" w:cstheme="minorHAnsi"/>
                <w:color w:val="000000" w:themeColor="dark1"/>
                <w:kern w:val="24"/>
                <w:lang w:eastAsia="zh-CN"/>
                <w14:textFill>
                  <w14:solidFill>
                    <w14:schemeClr w14:val="dk1"/>
                  </w14:solidFill>
                </w14:textFill>
              </w:rPr>
              <w:t>机构项目管理</w:t>
            </w:r>
          </w:p>
        </w:tc>
        <w:tc>
          <w:tcPr>
            <w:tcW w:w="7416" w:type="dxa"/>
            <w:tcBorders>
              <w:top w:val="single" w:color="auto" w:sz="4" w:space="0"/>
              <w:left w:val="single" w:color="auto" w:sz="4" w:space="0"/>
              <w:bottom w:val="single" w:color="auto" w:sz="4" w:space="0"/>
              <w:right w:val="single" w:color="auto" w:sz="4" w:space="0"/>
            </w:tcBorders>
            <w:shd w:val="clear" w:color="auto" w:fill="FFFFFF"/>
            <w:tcMar>
              <w:top w:w="113" w:type="dxa"/>
              <w:bottom w:w="113" w:type="dxa"/>
            </w:tcMar>
          </w:tcPr>
          <w:p>
            <w:pPr>
              <w:ind w:left="360"/>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负责所有资助项目的规划、设计和报告，完成资方的日常问询和协调与联系。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2" w:type="dxa"/>
            <w:tcBorders>
              <w:right w:val="single" w:color="auto" w:sz="4" w:space="0"/>
            </w:tcBorders>
            <w:shd w:val="clear" w:color="auto" w:fill="FFFFFF"/>
            <w:tcMar>
              <w:top w:w="57" w:type="dxa"/>
            </w:tcMar>
          </w:tcPr>
          <w:p>
            <w:pPr>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机构运营</w:t>
            </w:r>
          </w:p>
          <w:p>
            <w:pPr>
              <w:rPr>
                <w:rFonts w:hint="eastAsia" w:asciiTheme="minorEastAsia" w:hAnsiTheme="minorEastAsia" w:eastAsiaTheme="minorEastAsia" w:cstheme="minorHAnsi"/>
                <w:lang w:eastAsia="zh-CN"/>
              </w:rPr>
            </w:pPr>
          </w:p>
        </w:tc>
        <w:tc>
          <w:tcPr>
            <w:tcW w:w="7416" w:type="dxa"/>
            <w:tcBorders>
              <w:top w:val="single" w:color="auto" w:sz="4" w:space="0"/>
              <w:left w:val="single" w:color="auto" w:sz="4" w:space="0"/>
              <w:bottom w:val="single" w:color="auto" w:sz="4" w:space="0"/>
              <w:right w:val="single" w:color="auto" w:sz="4" w:space="0"/>
            </w:tcBorders>
            <w:shd w:val="clear" w:color="auto" w:fill="FFFFFF"/>
            <w:tcMar>
              <w:top w:w="113" w:type="dxa"/>
              <w:bottom w:w="113" w:type="dxa"/>
            </w:tcMar>
          </w:tcPr>
          <w:p>
            <w:pPr>
              <w:ind w:left="360"/>
              <w:jc w:val="both"/>
              <w:rPr>
                <w:rFonts w:hint="eastAsia" w:asciiTheme="minorEastAsia" w:hAnsiTheme="minorEastAsia" w:eastAsiaTheme="minorEastAsia" w:cstheme="minorHAnsi"/>
                <w:lang w:eastAsia="zh-CN"/>
              </w:rPr>
            </w:pPr>
            <w:r>
              <w:rPr>
                <w:rFonts w:hint="eastAsia" w:asciiTheme="minorEastAsia" w:hAnsiTheme="minorEastAsia" w:eastAsiaTheme="minorEastAsia" w:cstheme="minorHAnsi"/>
                <w:lang w:eastAsia="zh-CN"/>
              </w:rPr>
              <w:t>协助规范机构运营，包括人事、财务、行政等方面的制度建设与实施。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8" w:type="dxa"/>
            <w:gridSpan w:val="2"/>
            <w:tcBorders>
              <w:top w:val="single" w:color="auto" w:sz="4" w:space="0"/>
              <w:left w:val="single" w:color="auto" w:sz="4" w:space="0"/>
              <w:bottom w:val="single" w:color="auto" w:sz="4" w:space="0"/>
              <w:right w:val="single" w:color="auto" w:sz="4" w:space="0"/>
            </w:tcBorders>
            <w:shd w:val="clear" w:color="auto" w:fill="808080"/>
            <w:tcMar>
              <w:top w:w="57" w:type="dxa"/>
            </w:tcMar>
          </w:tcPr>
          <w:p>
            <w:pPr>
              <w:overflowPunct w:val="0"/>
              <w:autoSpaceDE w:val="0"/>
              <w:autoSpaceDN w:val="0"/>
              <w:adjustRightInd w:val="0"/>
              <w:spacing w:before="40" w:after="40"/>
              <w:jc w:val="center"/>
              <w:textAlignment w:val="baseline"/>
              <w:rPr>
                <w:rFonts w:hint="eastAsia" w:asciiTheme="minorEastAsia" w:hAnsiTheme="minorEastAsia" w:eastAsiaTheme="minorEastAsia" w:cstheme="minorHAnsi"/>
                <w:b/>
                <w:lang w:eastAsia="zh-CN"/>
              </w:rPr>
            </w:pPr>
          </w:p>
        </w:tc>
      </w:tr>
    </w:tbl>
    <w:p>
      <w:pPr>
        <w:spacing w:before="100" w:beforeAutospacing="1" w:after="100" w:afterAutospacing="1"/>
        <w:jc w:val="both"/>
        <w:rPr>
          <w:rStyle w:val="33"/>
          <w:rFonts w:hint="eastAsia" w:asciiTheme="minorEastAsia" w:hAnsiTheme="minorEastAsia" w:eastAsiaTheme="minorEastAsia" w:cstheme="minorHAnsi"/>
          <w:lang w:eastAsia="zh-CN"/>
        </w:rPr>
      </w:pPr>
      <w:r>
        <w:rPr>
          <w:rStyle w:val="33"/>
          <w:rFonts w:hint="eastAsia" w:asciiTheme="minorEastAsia" w:hAnsiTheme="minorEastAsia" w:eastAsiaTheme="minorEastAsia" w:cstheme="minorHAnsi"/>
          <w:lang w:eastAsia="zh-CN"/>
        </w:rPr>
        <w:t>本工作职责覆盖了简报</w:t>
      </w:r>
      <w:r>
        <w:rPr>
          <w:rStyle w:val="33"/>
          <w:rFonts w:hint="eastAsia" w:asciiTheme="minorEastAsia" w:hAnsiTheme="minorEastAsia" w:eastAsiaTheme="minorEastAsia" w:cstheme="minorHAnsi"/>
          <w:lang w:val="en-US" w:eastAsia="zh-Hans"/>
        </w:rPr>
        <w:t>执行主任</w:t>
      </w:r>
      <w:r>
        <w:rPr>
          <w:rStyle w:val="33"/>
          <w:rFonts w:hint="eastAsia" w:asciiTheme="minorEastAsia" w:hAnsiTheme="minorEastAsia" w:eastAsiaTheme="minorEastAsia" w:cstheme="minorHAnsi"/>
          <w:lang w:eastAsia="zh-CN"/>
        </w:rPr>
        <w:t>的主要工作领域。但每年在相关领域的侧重点得由年度考核指标（KPI）具体确定。此外，根据简报的需要，</w:t>
      </w:r>
      <w:r>
        <w:rPr>
          <w:rStyle w:val="33"/>
          <w:rFonts w:hint="eastAsia" w:asciiTheme="minorEastAsia" w:hAnsiTheme="minorEastAsia" w:eastAsiaTheme="minorEastAsia" w:cstheme="minorHAnsi"/>
          <w:lang w:val="en-US" w:eastAsia="zh-Hans"/>
        </w:rPr>
        <w:t>执行主任</w:t>
      </w:r>
      <w:r>
        <w:rPr>
          <w:rStyle w:val="33"/>
          <w:rFonts w:hint="eastAsia" w:asciiTheme="minorEastAsia" w:hAnsiTheme="minorEastAsia" w:eastAsiaTheme="minorEastAsia" w:cstheme="minorHAnsi"/>
          <w:lang w:eastAsia="zh-CN"/>
        </w:rPr>
        <w:t>还需要执行理事会安排的其它相关工作。</w:t>
      </w: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四、入职时间：2024年9月16日</w:t>
      </w: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五、薪资待遇</w:t>
      </w:r>
    </w:p>
    <w:p>
      <w:pPr>
        <w:spacing w:line="360" w:lineRule="auto"/>
        <w:rPr>
          <w:rFonts w:hint="default" w:ascii="Times New Roman" w:hAnsi="Times New Roman"/>
          <w:sz w:val="24"/>
          <w:szCs w:val="24"/>
          <w:lang w:eastAsia="zh-CN"/>
        </w:rPr>
      </w:pPr>
      <w:r>
        <w:rPr>
          <w:rFonts w:hint="eastAsia" w:ascii="Times New Roman" w:hAnsi="Times New Roman"/>
          <w:sz w:val="24"/>
          <w:szCs w:val="24"/>
          <w:lang w:eastAsia="zh-CN"/>
        </w:rPr>
        <w:t>薪资待遇面议，试用期满正式录用后按国家有关规定享受福利待遇。这是一个令人身心舒畅的工作团队：工作内容吸引人、团队向上和谐彼此支持</w:t>
      </w:r>
      <w:r>
        <w:rPr>
          <w:rFonts w:hint="default" w:ascii="Times New Roman" w:hAnsi="Times New Roman"/>
          <w:sz w:val="24"/>
          <w:szCs w:val="24"/>
          <w:lang w:eastAsia="zh-CN"/>
        </w:rPr>
        <w:t>。</w:t>
      </w:r>
      <w:bookmarkStart w:id="0" w:name="_GoBack"/>
      <w:bookmarkEnd w:id="0"/>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六、求职方式</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本岗位招聘有效期至2024年9月5日。有意者须将以下材料发送到：ray.zhang#cdb.org.cn（请将#替换为@），并在邮件主题栏标注“应聘执行主任”字样。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1）个人简历</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2）求职信(包括薪资期望)</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3）撰写、发表的文章或者独立完成的报告（或者独立完成的部分）</w:t>
      </w:r>
    </w:p>
    <w:p>
      <w:pPr>
        <w:spacing w:line="360" w:lineRule="auto"/>
        <w:rPr>
          <w:rFonts w:ascii="Times New Roman" w:hAnsi="Times New Roman"/>
          <w:sz w:val="24"/>
          <w:szCs w:val="24"/>
          <w:lang w:eastAsia="zh-CN"/>
        </w:rPr>
      </w:pP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我们将尽快通知合适的候选人参加面试，敬请留意。如在招聘截止期1周以后没有接到通知，视为未获面试机会。</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期待你的到来。</w:t>
      </w:r>
    </w:p>
    <w:sectPr>
      <w:headerReference r:id="rId6" w:type="first"/>
      <w:headerReference r:id="rId5" w:type="default"/>
      <w:footerReference r:id="rId7" w:type="default"/>
      <w:pgSz w:w="11906" w:h="16838"/>
      <w:pgMar w:top="1440" w:right="1800" w:bottom="1276" w:left="1800" w:header="851" w:footer="235"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136937"/>
    </w:sdtPr>
    <w:sdtContent>
      <w:sdt>
        <w:sdtPr>
          <w:id w:val="1728636285"/>
        </w:sdtPr>
        <w:sdtContent>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b/>
        <w:color w:val="4BACC6" w:themeColor="accent5"/>
        <w:sz w:val="28"/>
        <w:szCs w:val="28"/>
        <w14:textFill>
          <w14:solidFill>
            <w14:schemeClr w14:val="accent5"/>
          </w14:solidFill>
        </w14:textFill>
      </w:rPr>
      <mc:AlternateContent>
        <mc:Choice Requires="wps">
          <w:drawing>
            <wp:anchor distT="0" distB="0" distL="114300" distR="114300" simplePos="0" relativeHeight="251660288" behindDoc="1" locked="0" layoutInCell="1" allowOverlap="1">
              <wp:simplePos x="0" y="0"/>
              <wp:positionH relativeFrom="page">
                <wp:posOffset>4683760</wp:posOffset>
              </wp:positionH>
              <wp:positionV relativeFrom="page">
                <wp:posOffset>754380</wp:posOffset>
              </wp:positionV>
              <wp:extent cx="265430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54300" cy="139700"/>
                      </a:xfrm>
                      <a:prstGeom prst="rect">
                        <a:avLst/>
                      </a:prstGeom>
                      <a:noFill/>
                      <a:ln>
                        <a:noFill/>
                      </a:ln>
                    </wps:spPr>
                    <wps:txbx>
                      <w:txbxContent>
                        <w:p>
                          <w:pPr>
                            <w:spacing w:line="220" w:lineRule="exact"/>
                            <w:ind w:left="20"/>
                            <w:rPr>
                              <w:sz w:val="18"/>
                              <w:lang w:eastAsia="zh-CN"/>
                            </w:rPr>
                          </w:pPr>
                          <w:r>
                            <w:rPr>
                              <w:rFonts w:hint="eastAsia"/>
                              <w:sz w:val="18"/>
                              <w:lang w:eastAsia="zh-CN"/>
                            </w:rPr>
                            <w:t>北京益行公益信息交流服务中心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8.8pt;margin-top:59.4pt;height:11pt;width:209pt;mso-position-horizontal-relative:page;mso-position-vertical-relative:page;z-index:-251656192;mso-width-relative:page;mso-height-relative:page;" filled="f" stroked="f" coordsize="21600,21600" o:gfxdata="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NtrGC&#10;2QAAAAwBAAAPAAAAAAAAAAEAIAAAADgAAABkcnMvZG93bnJldi54bWxQSwECFAAUAAAACACHTuJA&#10;sNySHwoCAAAFBAAADgAAAAAAAAABACAAAAA+AQAAZHJzL2Uyb0RvYy54bWxQSwUGAAAAAAYABgBZ&#10;AQAAugU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北京益行公益信息交流服务中心</w:t>
                    </w:r>
                  </w:p>
                </w:txbxContent>
              </v:textbox>
            </v:shape>
          </w:pict>
        </mc:Fallback>
      </mc:AlternateContent>
    </w:r>
  </w:p>
  <w:p>
    <w:pPr>
      <w:pStyle w:val="8"/>
    </w:pPr>
    <w:r>
      <w:rPr>
        <w:rFonts w:hint="eastAsia"/>
        <w:b/>
        <w:color w:val="4BACC6" w:themeColor="accent5"/>
        <w:sz w:val="28"/>
        <w:szCs w:val="28"/>
        <w14:textFill>
          <w14:solidFill>
            <w14:schemeClr w14:val="accent5"/>
          </w14:solidFill>
        </w14:textFill>
      </w:rPr>
      <w:drawing>
        <wp:anchor distT="0" distB="0" distL="114300" distR="114300" simplePos="0" relativeHeight="251659264" behindDoc="0" locked="0" layoutInCell="1" allowOverlap="1">
          <wp:simplePos x="0" y="0"/>
          <wp:positionH relativeFrom="column">
            <wp:posOffset>57150</wp:posOffset>
          </wp:positionH>
          <wp:positionV relativeFrom="page">
            <wp:posOffset>438150</wp:posOffset>
          </wp:positionV>
          <wp:extent cx="1047115" cy="407035"/>
          <wp:effectExtent l="0" t="0" r="635" b="0"/>
          <wp:wrapNone/>
          <wp:docPr id="6" name="图片 1" descr="微信图片_2017090714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微信图片_20170907142611.png"/>
                  <pic:cNvPicPr>
                    <a:picLocks noChangeAspect="1"/>
                  </pic:cNvPicPr>
                </pic:nvPicPr>
                <pic:blipFill>
                  <a:blip r:embed="rId1"/>
                  <a:stretch>
                    <a:fillRect/>
                  </a:stretch>
                </pic:blipFill>
                <pic:spPr>
                  <a:xfrm>
                    <a:off x="0" y="0"/>
                    <a:ext cx="1047115" cy="4070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b/>
        <w:color w:val="4BACC6" w:themeColor="accent5"/>
        <w:sz w:val="28"/>
        <w:szCs w:val="28"/>
        <w14:textFill>
          <w14:solidFill>
            <w14:schemeClr w14:val="accent5"/>
          </w14:solidFill>
        </w14:textFill>
      </w:rPr>
      <w:drawing>
        <wp:anchor distT="0" distB="0" distL="114300" distR="114300" simplePos="0" relativeHeight="251661312" behindDoc="0" locked="0" layoutInCell="1" allowOverlap="1">
          <wp:simplePos x="0" y="0"/>
          <wp:positionH relativeFrom="column">
            <wp:posOffset>0</wp:posOffset>
          </wp:positionH>
          <wp:positionV relativeFrom="page">
            <wp:posOffset>197485</wp:posOffset>
          </wp:positionV>
          <wp:extent cx="1047115" cy="407035"/>
          <wp:effectExtent l="0" t="0" r="635" b="0"/>
          <wp:wrapNone/>
          <wp:docPr id="7" name="图片 1" descr="微信图片_2017090714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170907142611.png"/>
                  <pic:cNvPicPr>
                    <a:picLocks noChangeAspect="1"/>
                  </pic:cNvPicPr>
                </pic:nvPicPr>
                <pic:blipFill>
                  <a:blip r:embed="rId1"/>
                  <a:stretch>
                    <a:fillRect/>
                  </a:stretch>
                </pic:blipFill>
                <pic:spPr>
                  <a:xfrm>
                    <a:off x="0" y="0"/>
                    <a:ext cx="1047115" cy="407035"/>
                  </a:xfrm>
                  <a:prstGeom prst="rect">
                    <a:avLst/>
                  </a:prstGeom>
                </pic:spPr>
              </pic:pic>
            </a:graphicData>
          </a:graphic>
        </wp:anchor>
      </w:drawing>
    </w:r>
    <w:r>
      <w:rPr>
        <w:rFonts w:hint="eastAsia"/>
        <w:b/>
        <w:color w:val="4BACC6" w:themeColor="accent5"/>
        <w:sz w:val="28"/>
        <w:szCs w:val="28"/>
        <w14:textFill>
          <w14:solidFill>
            <w14:schemeClr w14:val="accent5"/>
          </w14:solidFill>
        </w14:textFill>
      </w:rPr>
      <mc:AlternateContent>
        <mc:Choice Requires="wps">
          <w:drawing>
            <wp:anchor distT="0" distB="0" distL="114300" distR="114300" simplePos="0" relativeHeight="251662336" behindDoc="1" locked="0" layoutInCell="1" allowOverlap="1">
              <wp:simplePos x="0" y="0"/>
              <wp:positionH relativeFrom="page">
                <wp:posOffset>4626610</wp:posOffset>
              </wp:positionH>
              <wp:positionV relativeFrom="page">
                <wp:posOffset>513715</wp:posOffset>
              </wp:positionV>
              <wp:extent cx="2654300" cy="139700"/>
              <wp:effectExtent l="0" t="0" r="1270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54300" cy="139700"/>
                      </a:xfrm>
                      <a:prstGeom prst="rect">
                        <a:avLst/>
                      </a:prstGeom>
                      <a:noFill/>
                      <a:ln>
                        <a:noFill/>
                      </a:ln>
                    </wps:spPr>
                    <wps:txbx>
                      <w:txbxContent>
                        <w:p>
                          <w:pPr>
                            <w:spacing w:line="220" w:lineRule="exact"/>
                            <w:ind w:left="20"/>
                            <w:rPr>
                              <w:sz w:val="18"/>
                              <w:lang w:eastAsia="zh-CN"/>
                            </w:rPr>
                          </w:pPr>
                          <w:r>
                            <w:rPr>
                              <w:rFonts w:hint="eastAsia"/>
                              <w:sz w:val="18"/>
                              <w:lang w:eastAsia="zh-CN"/>
                            </w:rPr>
                            <w:t>北京益行公益信息交流服务中心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4.3pt;margin-top:40.45pt;height:11pt;width:209pt;mso-position-horizontal-relative:page;mso-position-vertical-relative:page;z-index:-251654144;mso-width-relative:page;mso-height-relative:page;" filled="f" stroked="f" coordsize="21600,21600" o:gfxdata="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43nE&#10;q9gAAAALAQAADwAAAAAAAAABACAAAAA4AAAAZHJzL2Rvd25yZXYueG1sUEsBAhQAFAAAAAgAh07i&#10;QFJZqncMAgAABQQAAA4AAAAAAAAAAQAgAAAAPQEAAGRycy9lMm9Eb2MueG1sUEsFBgAAAAAGAAYA&#10;WQEAALsFA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北京益行公益信息交流服务中心</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C295B"/>
    <w:multiLevelType w:val="multilevel"/>
    <w:tmpl w:val="034C2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67175AF"/>
    <w:multiLevelType w:val="multilevel"/>
    <w:tmpl w:val="267175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8C"/>
    <w:rsid w:val="00003CF5"/>
    <w:rsid w:val="000067F4"/>
    <w:rsid w:val="0001656D"/>
    <w:rsid w:val="00030346"/>
    <w:rsid w:val="0003043B"/>
    <w:rsid w:val="000311D6"/>
    <w:rsid w:val="0003141B"/>
    <w:rsid w:val="000327B7"/>
    <w:rsid w:val="00041CB0"/>
    <w:rsid w:val="00044919"/>
    <w:rsid w:val="00071507"/>
    <w:rsid w:val="0007397F"/>
    <w:rsid w:val="000772DB"/>
    <w:rsid w:val="000842D5"/>
    <w:rsid w:val="0009068B"/>
    <w:rsid w:val="00090978"/>
    <w:rsid w:val="00094102"/>
    <w:rsid w:val="00095B47"/>
    <w:rsid w:val="000964F9"/>
    <w:rsid w:val="000A0B50"/>
    <w:rsid w:val="000B6EF0"/>
    <w:rsid w:val="000C3FC5"/>
    <w:rsid w:val="000C4674"/>
    <w:rsid w:val="00103C8C"/>
    <w:rsid w:val="00103FCF"/>
    <w:rsid w:val="00112101"/>
    <w:rsid w:val="0011751F"/>
    <w:rsid w:val="0012736E"/>
    <w:rsid w:val="001338D3"/>
    <w:rsid w:val="001416F5"/>
    <w:rsid w:val="00143FF0"/>
    <w:rsid w:val="00150110"/>
    <w:rsid w:val="00150CF5"/>
    <w:rsid w:val="00162B70"/>
    <w:rsid w:val="00163D21"/>
    <w:rsid w:val="0018122B"/>
    <w:rsid w:val="00185634"/>
    <w:rsid w:val="001948ED"/>
    <w:rsid w:val="001A272B"/>
    <w:rsid w:val="001D3413"/>
    <w:rsid w:val="001D63B5"/>
    <w:rsid w:val="001F0659"/>
    <w:rsid w:val="00211586"/>
    <w:rsid w:val="00222572"/>
    <w:rsid w:val="00223771"/>
    <w:rsid w:val="00230CF9"/>
    <w:rsid w:val="0024339C"/>
    <w:rsid w:val="00250C3D"/>
    <w:rsid w:val="002773C7"/>
    <w:rsid w:val="00281AAA"/>
    <w:rsid w:val="002918D0"/>
    <w:rsid w:val="002C2017"/>
    <w:rsid w:val="002C2483"/>
    <w:rsid w:val="002C2C8C"/>
    <w:rsid w:val="002D1A2D"/>
    <w:rsid w:val="002D4B1F"/>
    <w:rsid w:val="002D4D8C"/>
    <w:rsid w:val="002D622F"/>
    <w:rsid w:val="002D7B5E"/>
    <w:rsid w:val="002E595E"/>
    <w:rsid w:val="002F02E6"/>
    <w:rsid w:val="002F0AD6"/>
    <w:rsid w:val="0031058D"/>
    <w:rsid w:val="00313238"/>
    <w:rsid w:val="0031552F"/>
    <w:rsid w:val="003204A3"/>
    <w:rsid w:val="00321DA6"/>
    <w:rsid w:val="00332EC5"/>
    <w:rsid w:val="00335A00"/>
    <w:rsid w:val="00353408"/>
    <w:rsid w:val="00354619"/>
    <w:rsid w:val="0036372D"/>
    <w:rsid w:val="00364851"/>
    <w:rsid w:val="003652A9"/>
    <w:rsid w:val="00372B27"/>
    <w:rsid w:val="003863DA"/>
    <w:rsid w:val="00393DA2"/>
    <w:rsid w:val="00395A4D"/>
    <w:rsid w:val="003B04BB"/>
    <w:rsid w:val="003B27C1"/>
    <w:rsid w:val="003B48B2"/>
    <w:rsid w:val="003B66C7"/>
    <w:rsid w:val="003C0F72"/>
    <w:rsid w:val="003D4317"/>
    <w:rsid w:val="003D4A4C"/>
    <w:rsid w:val="003D6A7D"/>
    <w:rsid w:val="003F5EEB"/>
    <w:rsid w:val="00404D48"/>
    <w:rsid w:val="00416053"/>
    <w:rsid w:val="00426B07"/>
    <w:rsid w:val="00432A39"/>
    <w:rsid w:val="0044669D"/>
    <w:rsid w:val="00450B17"/>
    <w:rsid w:val="004771BE"/>
    <w:rsid w:val="00494315"/>
    <w:rsid w:val="004A7418"/>
    <w:rsid w:val="004B08C9"/>
    <w:rsid w:val="004B775B"/>
    <w:rsid w:val="004C557D"/>
    <w:rsid w:val="004C5D03"/>
    <w:rsid w:val="004D1120"/>
    <w:rsid w:val="004D6D7E"/>
    <w:rsid w:val="004E777D"/>
    <w:rsid w:val="004F6C1B"/>
    <w:rsid w:val="0050293C"/>
    <w:rsid w:val="00506CAB"/>
    <w:rsid w:val="0051592C"/>
    <w:rsid w:val="00522F15"/>
    <w:rsid w:val="00532514"/>
    <w:rsid w:val="00534D44"/>
    <w:rsid w:val="005371EA"/>
    <w:rsid w:val="005421A6"/>
    <w:rsid w:val="005423B9"/>
    <w:rsid w:val="005434E0"/>
    <w:rsid w:val="005446FF"/>
    <w:rsid w:val="00552664"/>
    <w:rsid w:val="00555149"/>
    <w:rsid w:val="0056034A"/>
    <w:rsid w:val="00563A12"/>
    <w:rsid w:val="00564C79"/>
    <w:rsid w:val="0056504D"/>
    <w:rsid w:val="00583C65"/>
    <w:rsid w:val="00590D88"/>
    <w:rsid w:val="005923F8"/>
    <w:rsid w:val="005928C5"/>
    <w:rsid w:val="0059796C"/>
    <w:rsid w:val="005A01BE"/>
    <w:rsid w:val="005A197F"/>
    <w:rsid w:val="005A5F2C"/>
    <w:rsid w:val="005C617E"/>
    <w:rsid w:val="005D4B33"/>
    <w:rsid w:val="005E05C2"/>
    <w:rsid w:val="005E1840"/>
    <w:rsid w:val="005E54D7"/>
    <w:rsid w:val="0060103F"/>
    <w:rsid w:val="006044DA"/>
    <w:rsid w:val="006114F5"/>
    <w:rsid w:val="006149B8"/>
    <w:rsid w:val="00620199"/>
    <w:rsid w:val="006236D2"/>
    <w:rsid w:val="00625BAC"/>
    <w:rsid w:val="006351E6"/>
    <w:rsid w:val="006419F9"/>
    <w:rsid w:val="00645D10"/>
    <w:rsid w:val="00646808"/>
    <w:rsid w:val="00647867"/>
    <w:rsid w:val="006507D9"/>
    <w:rsid w:val="00653EAC"/>
    <w:rsid w:val="006710A3"/>
    <w:rsid w:val="00671536"/>
    <w:rsid w:val="00680426"/>
    <w:rsid w:val="0068299A"/>
    <w:rsid w:val="00690F42"/>
    <w:rsid w:val="00691DDC"/>
    <w:rsid w:val="00692CFA"/>
    <w:rsid w:val="00696385"/>
    <w:rsid w:val="006B1819"/>
    <w:rsid w:val="006B509A"/>
    <w:rsid w:val="006C6BC1"/>
    <w:rsid w:val="006D62BF"/>
    <w:rsid w:val="006E5D75"/>
    <w:rsid w:val="006F1152"/>
    <w:rsid w:val="006F43EA"/>
    <w:rsid w:val="007014EA"/>
    <w:rsid w:val="007146BB"/>
    <w:rsid w:val="00730936"/>
    <w:rsid w:val="00742DC4"/>
    <w:rsid w:val="007575BC"/>
    <w:rsid w:val="00761BEE"/>
    <w:rsid w:val="00763FCC"/>
    <w:rsid w:val="007641F6"/>
    <w:rsid w:val="007744A8"/>
    <w:rsid w:val="00780F0E"/>
    <w:rsid w:val="007834B4"/>
    <w:rsid w:val="00794496"/>
    <w:rsid w:val="007A5DE0"/>
    <w:rsid w:val="007B5D2F"/>
    <w:rsid w:val="007C6BE0"/>
    <w:rsid w:val="007C7899"/>
    <w:rsid w:val="007D1EDB"/>
    <w:rsid w:val="007D57E0"/>
    <w:rsid w:val="007D697F"/>
    <w:rsid w:val="007E3912"/>
    <w:rsid w:val="007E39FD"/>
    <w:rsid w:val="007F0040"/>
    <w:rsid w:val="007F5F34"/>
    <w:rsid w:val="007F6C04"/>
    <w:rsid w:val="007F792A"/>
    <w:rsid w:val="008003CF"/>
    <w:rsid w:val="008132FF"/>
    <w:rsid w:val="00814A97"/>
    <w:rsid w:val="008153B0"/>
    <w:rsid w:val="00820D97"/>
    <w:rsid w:val="008263D8"/>
    <w:rsid w:val="00836025"/>
    <w:rsid w:val="00837112"/>
    <w:rsid w:val="00843095"/>
    <w:rsid w:val="00844568"/>
    <w:rsid w:val="008445B6"/>
    <w:rsid w:val="00854F5C"/>
    <w:rsid w:val="00856BD5"/>
    <w:rsid w:val="00864DD5"/>
    <w:rsid w:val="008778C0"/>
    <w:rsid w:val="00884961"/>
    <w:rsid w:val="00887D1D"/>
    <w:rsid w:val="00891EBD"/>
    <w:rsid w:val="00895677"/>
    <w:rsid w:val="008A3639"/>
    <w:rsid w:val="008A5929"/>
    <w:rsid w:val="008B37F4"/>
    <w:rsid w:val="008C075D"/>
    <w:rsid w:val="008C0DAE"/>
    <w:rsid w:val="008C34AE"/>
    <w:rsid w:val="008C3BE2"/>
    <w:rsid w:val="008D2395"/>
    <w:rsid w:val="008D25AB"/>
    <w:rsid w:val="008D66CE"/>
    <w:rsid w:val="008E0BDE"/>
    <w:rsid w:val="008E4774"/>
    <w:rsid w:val="008E752E"/>
    <w:rsid w:val="008F2D31"/>
    <w:rsid w:val="008F3095"/>
    <w:rsid w:val="008F3DCD"/>
    <w:rsid w:val="008F65BB"/>
    <w:rsid w:val="009028B5"/>
    <w:rsid w:val="009055C1"/>
    <w:rsid w:val="00905672"/>
    <w:rsid w:val="00906D42"/>
    <w:rsid w:val="00911E14"/>
    <w:rsid w:val="009136D1"/>
    <w:rsid w:val="00917118"/>
    <w:rsid w:val="00923ED4"/>
    <w:rsid w:val="0093089C"/>
    <w:rsid w:val="009465F0"/>
    <w:rsid w:val="009471C3"/>
    <w:rsid w:val="00950420"/>
    <w:rsid w:val="00956D66"/>
    <w:rsid w:val="0095784D"/>
    <w:rsid w:val="0099189D"/>
    <w:rsid w:val="00997F42"/>
    <w:rsid w:val="009A628C"/>
    <w:rsid w:val="009B1A95"/>
    <w:rsid w:val="009B3FD0"/>
    <w:rsid w:val="009B76D2"/>
    <w:rsid w:val="009C0607"/>
    <w:rsid w:val="009C6DD1"/>
    <w:rsid w:val="009D5E5F"/>
    <w:rsid w:val="009F0AEF"/>
    <w:rsid w:val="009F324B"/>
    <w:rsid w:val="00A07B92"/>
    <w:rsid w:val="00A3611E"/>
    <w:rsid w:val="00A3753E"/>
    <w:rsid w:val="00A410AE"/>
    <w:rsid w:val="00A42979"/>
    <w:rsid w:val="00A45838"/>
    <w:rsid w:val="00A7051A"/>
    <w:rsid w:val="00A70D93"/>
    <w:rsid w:val="00A87AE6"/>
    <w:rsid w:val="00A9035B"/>
    <w:rsid w:val="00A9123E"/>
    <w:rsid w:val="00AA24D6"/>
    <w:rsid w:val="00AB031D"/>
    <w:rsid w:val="00AB25DC"/>
    <w:rsid w:val="00AB408D"/>
    <w:rsid w:val="00AB53EB"/>
    <w:rsid w:val="00AB5A47"/>
    <w:rsid w:val="00AB7BFA"/>
    <w:rsid w:val="00AC3446"/>
    <w:rsid w:val="00AD0715"/>
    <w:rsid w:val="00AE097C"/>
    <w:rsid w:val="00AE53AA"/>
    <w:rsid w:val="00AF5682"/>
    <w:rsid w:val="00AF6951"/>
    <w:rsid w:val="00AF7DBF"/>
    <w:rsid w:val="00B07702"/>
    <w:rsid w:val="00B07FDF"/>
    <w:rsid w:val="00B20F0D"/>
    <w:rsid w:val="00B21E72"/>
    <w:rsid w:val="00B4004C"/>
    <w:rsid w:val="00B40431"/>
    <w:rsid w:val="00B5103E"/>
    <w:rsid w:val="00B61509"/>
    <w:rsid w:val="00B636A9"/>
    <w:rsid w:val="00B74D23"/>
    <w:rsid w:val="00B77C46"/>
    <w:rsid w:val="00B8125B"/>
    <w:rsid w:val="00B91AF4"/>
    <w:rsid w:val="00B9490C"/>
    <w:rsid w:val="00B959FC"/>
    <w:rsid w:val="00BC1D8C"/>
    <w:rsid w:val="00BC6251"/>
    <w:rsid w:val="00BE11BD"/>
    <w:rsid w:val="00BE4182"/>
    <w:rsid w:val="00BE4DEF"/>
    <w:rsid w:val="00BF4D06"/>
    <w:rsid w:val="00C133EC"/>
    <w:rsid w:val="00C172C8"/>
    <w:rsid w:val="00C26FAD"/>
    <w:rsid w:val="00C32DE8"/>
    <w:rsid w:val="00C3399E"/>
    <w:rsid w:val="00C44942"/>
    <w:rsid w:val="00C47649"/>
    <w:rsid w:val="00C56DBF"/>
    <w:rsid w:val="00C637B3"/>
    <w:rsid w:val="00C67479"/>
    <w:rsid w:val="00C72701"/>
    <w:rsid w:val="00C7384D"/>
    <w:rsid w:val="00C90849"/>
    <w:rsid w:val="00C94F7B"/>
    <w:rsid w:val="00CB12FB"/>
    <w:rsid w:val="00CB43C9"/>
    <w:rsid w:val="00CC4885"/>
    <w:rsid w:val="00CC51E9"/>
    <w:rsid w:val="00CD0830"/>
    <w:rsid w:val="00CE6E6E"/>
    <w:rsid w:val="00CF04C0"/>
    <w:rsid w:val="00CF63F4"/>
    <w:rsid w:val="00D07E53"/>
    <w:rsid w:val="00D12433"/>
    <w:rsid w:val="00D17235"/>
    <w:rsid w:val="00D41105"/>
    <w:rsid w:val="00D622A7"/>
    <w:rsid w:val="00D73F41"/>
    <w:rsid w:val="00D73FBE"/>
    <w:rsid w:val="00D74371"/>
    <w:rsid w:val="00D82A2E"/>
    <w:rsid w:val="00DA52F5"/>
    <w:rsid w:val="00DB0758"/>
    <w:rsid w:val="00DB0F29"/>
    <w:rsid w:val="00DB3071"/>
    <w:rsid w:val="00DD7B1A"/>
    <w:rsid w:val="00DE389A"/>
    <w:rsid w:val="00DF6385"/>
    <w:rsid w:val="00E0799B"/>
    <w:rsid w:val="00E2015C"/>
    <w:rsid w:val="00E20B05"/>
    <w:rsid w:val="00E25C0E"/>
    <w:rsid w:val="00E25CEA"/>
    <w:rsid w:val="00E31917"/>
    <w:rsid w:val="00E32659"/>
    <w:rsid w:val="00E520DF"/>
    <w:rsid w:val="00E658CB"/>
    <w:rsid w:val="00E7114D"/>
    <w:rsid w:val="00E749F7"/>
    <w:rsid w:val="00E7527D"/>
    <w:rsid w:val="00E75F43"/>
    <w:rsid w:val="00E77570"/>
    <w:rsid w:val="00E847C0"/>
    <w:rsid w:val="00E90E32"/>
    <w:rsid w:val="00EA64C8"/>
    <w:rsid w:val="00EB2664"/>
    <w:rsid w:val="00EB48E2"/>
    <w:rsid w:val="00EC6147"/>
    <w:rsid w:val="00EE0129"/>
    <w:rsid w:val="00EE2E50"/>
    <w:rsid w:val="00EE6E49"/>
    <w:rsid w:val="00EF20BD"/>
    <w:rsid w:val="00F14E93"/>
    <w:rsid w:val="00F21B5C"/>
    <w:rsid w:val="00F27497"/>
    <w:rsid w:val="00F44A77"/>
    <w:rsid w:val="00F50CBA"/>
    <w:rsid w:val="00F51FD5"/>
    <w:rsid w:val="00F82F4B"/>
    <w:rsid w:val="00F954F9"/>
    <w:rsid w:val="00FA2DD5"/>
    <w:rsid w:val="00FB12B5"/>
    <w:rsid w:val="00FB4016"/>
    <w:rsid w:val="00FC1036"/>
    <w:rsid w:val="00FC78EC"/>
    <w:rsid w:val="00FD09C5"/>
    <w:rsid w:val="00FE3171"/>
    <w:rsid w:val="00FE7035"/>
    <w:rsid w:val="00FF4B2D"/>
    <w:rsid w:val="00FF5CE3"/>
    <w:rsid w:val="1B051361"/>
    <w:rsid w:val="1FFAFB01"/>
    <w:rsid w:val="283E1A05"/>
    <w:rsid w:val="337BF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pPr>
    <w:rPr>
      <w:rFonts w:ascii="Cambria" w:hAnsi="Cambria" w:eastAsia="宋体" w:cs="Times New Roman"/>
      <w:sz w:val="21"/>
      <w:szCs w:val="22"/>
      <w:lang w:val="en-US" w:eastAsia="en-US" w:bidi="en-US"/>
    </w:rPr>
  </w:style>
  <w:style w:type="paragraph" w:styleId="2">
    <w:name w:val="heading 1"/>
    <w:basedOn w:val="1"/>
    <w:next w:val="1"/>
    <w:link w:val="21"/>
    <w:qFormat/>
    <w:uiPriority w:val="9"/>
    <w:pPr>
      <w:spacing w:before="480" w:after="0"/>
      <w:contextualSpacing/>
      <w:outlineLvl w:val="0"/>
    </w:pPr>
    <w:rPr>
      <w:smallCaps/>
      <w:spacing w:val="5"/>
      <w:sz w:val="36"/>
      <w:szCs w:val="36"/>
    </w:rPr>
  </w:style>
  <w:style w:type="paragraph" w:styleId="3">
    <w:name w:val="heading 2"/>
    <w:basedOn w:val="1"/>
    <w:next w:val="1"/>
    <w:link w:val="22"/>
    <w:qFormat/>
    <w:uiPriority w:val="9"/>
    <w:pPr>
      <w:spacing w:before="200" w:after="0" w:line="271" w:lineRule="auto"/>
      <w:outlineLvl w:val="1"/>
    </w:pPr>
    <w:rPr>
      <w:smallCaps/>
      <w:sz w:val="28"/>
      <w:szCs w:val="28"/>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style>
  <w:style w:type="paragraph" w:styleId="6">
    <w:name w:val="Balloon Text"/>
    <w:basedOn w:val="1"/>
    <w:link w:val="28"/>
    <w:semiHidden/>
    <w:unhideWhenUsed/>
    <w:qFormat/>
    <w:uiPriority w:val="99"/>
    <w:pPr>
      <w:spacing w:after="0" w:line="240" w:lineRule="auto"/>
    </w:pPr>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pPr>
    <w:rPr>
      <w:rFonts w:cs="Calibri"/>
      <w:b/>
      <w:bCs/>
      <w:caps/>
      <w:sz w:val="20"/>
      <w:szCs w:val="20"/>
    </w:rPr>
  </w:style>
  <w:style w:type="paragraph" w:styleId="10">
    <w:name w:val="footnote text"/>
    <w:basedOn w:val="1"/>
    <w:link w:val="23"/>
    <w:unhideWhenUsed/>
    <w:qFormat/>
    <w:uiPriority w:val="99"/>
    <w:pPr>
      <w:snapToGrid w:val="0"/>
    </w:pPr>
    <w:rPr>
      <w:rFonts w:asciiTheme="minorHAnsi" w:hAnsiTheme="minorHAnsi" w:eastAsiaTheme="minorEastAsia" w:cstheme="minorBidi"/>
      <w:kern w:val="2"/>
      <w:sz w:val="18"/>
      <w:szCs w:val="18"/>
      <w:lang w:eastAsia="zh-CN" w:bidi="ar-SA"/>
    </w:rPr>
  </w:style>
  <w:style w:type="paragraph" w:styleId="11">
    <w:name w:val="toc 2"/>
    <w:basedOn w:val="1"/>
    <w:next w:val="1"/>
    <w:unhideWhenUsed/>
    <w:qFormat/>
    <w:uiPriority w:val="39"/>
    <w:pPr>
      <w:spacing w:after="0"/>
      <w:ind w:left="220"/>
    </w:pPr>
    <w:rPr>
      <w:rFonts w:cs="Calibri"/>
      <w:smallCaps/>
      <w:sz w:val="20"/>
      <w:szCs w:val="20"/>
    </w:rPr>
  </w:style>
  <w:style w:type="paragraph" w:styleId="12">
    <w:name w:val="annotation subject"/>
    <w:basedOn w:val="5"/>
    <w:next w:val="5"/>
    <w:link w:val="30"/>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semiHidden/>
    <w:unhideWhenUsed/>
    <w:qFormat/>
    <w:uiPriority w:val="0"/>
    <w:rPr>
      <w:sz w:val="21"/>
      <w:szCs w:val="21"/>
    </w:rPr>
  </w:style>
  <w:style w:type="character" w:styleId="17">
    <w:name w:val="footnote reference"/>
    <w:unhideWhenUsed/>
    <w:qFormat/>
    <w:uiPriority w:val="99"/>
    <w:rPr>
      <w:vertAlign w:val="superscript"/>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不明显参考1"/>
    <w:basedOn w:val="14"/>
    <w:qFormat/>
    <w:uiPriority w:val="31"/>
    <w:rPr>
      <w:smallCaps/>
    </w:rPr>
  </w:style>
  <w:style w:type="character" w:customStyle="1" w:styleId="21">
    <w:name w:val="标题 1 字符"/>
    <w:basedOn w:val="14"/>
    <w:link w:val="2"/>
    <w:qFormat/>
    <w:uiPriority w:val="9"/>
    <w:rPr>
      <w:rFonts w:ascii="Cambria" w:hAnsi="Cambria" w:eastAsia="宋体" w:cs="Times New Roman"/>
      <w:smallCaps/>
      <w:spacing w:val="5"/>
      <w:kern w:val="0"/>
      <w:sz w:val="36"/>
      <w:szCs w:val="36"/>
      <w:lang w:eastAsia="en-US" w:bidi="en-US"/>
    </w:rPr>
  </w:style>
  <w:style w:type="character" w:customStyle="1" w:styleId="22">
    <w:name w:val="标题 2 字符"/>
    <w:basedOn w:val="14"/>
    <w:link w:val="3"/>
    <w:qFormat/>
    <w:uiPriority w:val="9"/>
    <w:rPr>
      <w:rFonts w:ascii="Cambria" w:hAnsi="Cambria" w:eastAsia="宋体" w:cs="Times New Roman"/>
      <w:smallCaps/>
      <w:kern w:val="0"/>
      <w:sz w:val="28"/>
      <w:szCs w:val="28"/>
      <w:lang w:eastAsia="en-US" w:bidi="en-US"/>
    </w:rPr>
  </w:style>
  <w:style w:type="character" w:customStyle="1" w:styleId="23">
    <w:name w:val="脚注文本 字符"/>
    <w:link w:val="10"/>
    <w:qFormat/>
    <w:uiPriority w:val="99"/>
    <w:rPr>
      <w:sz w:val="18"/>
      <w:szCs w:val="18"/>
    </w:rPr>
  </w:style>
  <w:style w:type="character" w:customStyle="1" w:styleId="24">
    <w:name w:val="脚注文本 Char1"/>
    <w:basedOn w:val="14"/>
    <w:semiHidden/>
    <w:qFormat/>
    <w:uiPriority w:val="99"/>
    <w:rPr>
      <w:rFonts w:ascii="Cambria" w:hAnsi="Cambria" w:eastAsia="宋体" w:cs="Times New Roman"/>
      <w:kern w:val="0"/>
      <w:sz w:val="18"/>
      <w:szCs w:val="18"/>
      <w:lang w:eastAsia="en-US" w:bidi="en-US"/>
    </w:rPr>
  </w:style>
  <w:style w:type="paragraph" w:customStyle="1" w:styleId="25">
    <w:name w:val="TOC 标题1"/>
    <w:basedOn w:val="2"/>
    <w:next w:val="1"/>
    <w:qFormat/>
    <w:uiPriority w:val="39"/>
    <w:pPr>
      <w:outlineLvl w:val="9"/>
    </w:pPr>
  </w:style>
  <w:style w:type="paragraph" w:customStyle="1" w:styleId="26">
    <w:name w:val="彩色列表 - 强调文字颜色 11"/>
    <w:basedOn w:val="1"/>
    <w:qFormat/>
    <w:uiPriority w:val="34"/>
    <w:pPr>
      <w:ind w:firstLine="420" w:firstLineChars="200"/>
    </w:pPr>
  </w:style>
  <w:style w:type="character" w:customStyle="1" w:styleId="27">
    <w:name w:val="标题 3 字符"/>
    <w:basedOn w:val="14"/>
    <w:link w:val="4"/>
    <w:semiHidden/>
    <w:qFormat/>
    <w:uiPriority w:val="9"/>
    <w:rPr>
      <w:rFonts w:ascii="Cambria" w:hAnsi="Cambria" w:eastAsia="宋体" w:cs="Times New Roman"/>
      <w:b/>
      <w:bCs/>
      <w:kern w:val="0"/>
      <w:sz w:val="32"/>
      <w:szCs w:val="32"/>
      <w:lang w:eastAsia="en-US" w:bidi="en-US"/>
    </w:rPr>
  </w:style>
  <w:style w:type="character" w:customStyle="1" w:styleId="28">
    <w:name w:val="批注框文本 字符"/>
    <w:basedOn w:val="14"/>
    <w:link w:val="6"/>
    <w:semiHidden/>
    <w:qFormat/>
    <w:uiPriority w:val="99"/>
    <w:rPr>
      <w:rFonts w:ascii="Cambria" w:hAnsi="Cambria" w:eastAsia="宋体" w:cs="Times New Roman"/>
      <w:kern w:val="0"/>
      <w:sz w:val="18"/>
      <w:szCs w:val="18"/>
      <w:lang w:eastAsia="en-US" w:bidi="en-US"/>
    </w:rPr>
  </w:style>
  <w:style w:type="character" w:customStyle="1" w:styleId="29">
    <w:name w:val="批注文字 字符"/>
    <w:basedOn w:val="14"/>
    <w:link w:val="5"/>
    <w:qFormat/>
    <w:uiPriority w:val="0"/>
    <w:rPr>
      <w:rFonts w:ascii="Cambria" w:hAnsi="Cambria" w:eastAsia="宋体" w:cs="Times New Roman"/>
      <w:kern w:val="0"/>
      <w:lang w:eastAsia="en-US" w:bidi="en-US"/>
    </w:rPr>
  </w:style>
  <w:style w:type="character" w:customStyle="1" w:styleId="30">
    <w:name w:val="批注主题 字符"/>
    <w:basedOn w:val="29"/>
    <w:link w:val="12"/>
    <w:semiHidden/>
    <w:qFormat/>
    <w:uiPriority w:val="99"/>
    <w:rPr>
      <w:rFonts w:ascii="Cambria" w:hAnsi="Cambria" w:eastAsia="宋体" w:cs="Times New Roman"/>
      <w:b/>
      <w:bCs/>
      <w:kern w:val="0"/>
      <w:lang w:eastAsia="en-US" w:bidi="en-US"/>
    </w:rPr>
  </w:style>
  <w:style w:type="paragraph" w:customStyle="1" w:styleId="31">
    <w:name w:val="Revision"/>
    <w:hidden/>
    <w:semiHidden/>
    <w:qFormat/>
    <w:uiPriority w:val="99"/>
    <w:rPr>
      <w:rFonts w:ascii="Cambria" w:hAnsi="Cambria" w:eastAsia="宋体" w:cs="Times New Roman"/>
      <w:sz w:val="21"/>
      <w:szCs w:val="22"/>
      <w:lang w:val="en-US" w:eastAsia="en-US" w:bidi="en-US"/>
    </w:rPr>
  </w:style>
  <w:style w:type="paragraph" w:styleId="32">
    <w:name w:val="List Paragraph"/>
    <w:basedOn w:val="1"/>
    <w:qFormat/>
    <w:uiPriority w:val="34"/>
    <w:pPr>
      <w:spacing w:after="0" w:line="240" w:lineRule="auto"/>
      <w:ind w:left="720"/>
    </w:pPr>
    <w:rPr>
      <w:rFonts w:ascii="Calibri" w:hAnsi="Calibri" w:eastAsiaTheme="minorHAnsi"/>
      <w:sz w:val="22"/>
      <w:lang w:val="en-GB" w:eastAsia="en-GB" w:bidi="ar-SA"/>
    </w:rPr>
  </w:style>
  <w:style w:type="character" w:customStyle="1" w:styleId="33">
    <w:name w:val="st1"/>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268</Words>
  <Characters>1529</Characters>
  <Lines>12</Lines>
  <Paragraphs>3</Paragraphs>
  <TotalTime>13</TotalTime>
  <ScaleCrop>false</ScaleCrop>
  <LinksUpToDate>false</LinksUpToDate>
  <CharactersWithSpaces>1794</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2024-08-06T18:13:00Z</dcterms:created>
  <dc:creator>Lenovo</dc:creator>
  <cp:lastModifiedBy>芥末</cp:lastModifiedBy>
  <cp:lastPrinted>2022-08-25T00:42:00Z</cp:lastPrinted>
  <dcterms:modified xsi:type="dcterms:W3CDTF">2024-08-07T09:56:56Z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9B03D85AD9FD4DE6952CA739A9F288E8</vt:lpwstr>
  </property>
</Properties>
</file>