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7B6" w:rsidRPr="00DE27D3" w:rsidRDefault="00C147B6" w:rsidP="00C147B6">
      <w:pPr>
        <w:widowControl w:val="0"/>
        <w:tabs>
          <w:tab w:val="left" w:pos="540"/>
        </w:tabs>
        <w:spacing w:after="0" w:line="240" w:lineRule="auto"/>
        <w:jc w:val="right"/>
        <w:rPr>
          <w:rFonts w:ascii="Arial" w:eastAsia="仿宋_GB2312" w:hAnsi="Arial" w:cs="Arial"/>
          <w:b/>
          <w:szCs w:val="21"/>
          <w:u w:val="single"/>
        </w:rPr>
      </w:pPr>
      <w:r w:rsidRPr="00DE27D3">
        <w:rPr>
          <w:rFonts w:ascii="Arial" w:eastAsia="仿宋_GB2312" w:hAnsi="Arial" w:cs="Arial"/>
          <w:noProof/>
          <w:color w:val="FF0000"/>
          <w:lang w:val="en-US" w:eastAsia="zh-CN"/>
        </w:rPr>
        <w:drawing>
          <wp:inline distT="0" distB="0" distL="0" distR="0">
            <wp:extent cx="1097280" cy="1118235"/>
            <wp:effectExtent l="0" t="0" r="7620" b="5715"/>
            <wp:docPr id="1" name="图片 1" descr="HPA_LOGO_burst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_LOGO_burst_portra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7280" cy="1118235"/>
                    </a:xfrm>
                    <a:prstGeom prst="rect">
                      <a:avLst/>
                    </a:prstGeom>
                    <a:noFill/>
                    <a:ln>
                      <a:noFill/>
                    </a:ln>
                  </pic:spPr>
                </pic:pic>
              </a:graphicData>
            </a:graphic>
          </wp:inline>
        </w:drawing>
      </w:r>
    </w:p>
    <w:p w:rsidR="00825E92" w:rsidRPr="00DE27D3" w:rsidRDefault="00825E92" w:rsidP="00275DBC">
      <w:pPr>
        <w:jc w:val="center"/>
        <w:rPr>
          <w:rFonts w:ascii="Arial" w:eastAsia="仿宋_GB2312" w:hAnsi="Arial" w:cs="Arial"/>
          <w:b/>
          <w:sz w:val="24"/>
          <w:szCs w:val="24"/>
          <w:u w:val="single"/>
        </w:rPr>
      </w:pPr>
      <w:r w:rsidRPr="00DE27D3">
        <w:rPr>
          <w:rFonts w:ascii="Arial" w:eastAsia="仿宋_GB2312" w:hAnsi="Arial" w:cs="Arial"/>
          <w:b/>
          <w:sz w:val="24"/>
          <w:szCs w:val="24"/>
          <w:u w:val="single"/>
        </w:rPr>
        <w:t>Terms of Reference</w:t>
      </w:r>
    </w:p>
    <w:p w:rsidR="00825E92" w:rsidRPr="00DE27D3" w:rsidRDefault="009E4B31" w:rsidP="00275DBC">
      <w:pPr>
        <w:jc w:val="center"/>
        <w:rPr>
          <w:rFonts w:ascii="Arial" w:eastAsia="仿宋_GB2312" w:hAnsi="Arial" w:cs="Arial"/>
          <w:b/>
          <w:sz w:val="24"/>
          <w:szCs w:val="24"/>
        </w:rPr>
      </w:pPr>
      <w:r w:rsidRPr="00DE27D3">
        <w:rPr>
          <w:rFonts w:ascii="Arial" w:eastAsia="仿宋_GB2312" w:hAnsi="Arial" w:cs="Arial"/>
          <w:b/>
          <w:sz w:val="24"/>
          <w:szCs w:val="24"/>
        </w:rPr>
        <w:t>Service Availability and Readiness</w:t>
      </w:r>
      <w:r w:rsidR="00275DBC" w:rsidRPr="00DE27D3">
        <w:rPr>
          <w:rFonts w:ascii="Arial" w:eastAsia="仿宋_GB2312" w:hAnsi="Arial" w:cs="Arial"/>
          <w:b/>
          <w:sz w:val="24"/>
          <w:szCs w:val="24"/>
          <w:lang w:eastAsia="zh-CN"/>
        </w:rPr>
        <w:t xml:space="preserve"> </w:t>
      </w:r>
      <w:r w:rsidRPr="00DE27D3">
        <w:rPr>
          <w:rFonts w:ascii="Arial" w:eastAsia="仿宋_GB2312" w:hAnsi="Arial" w:cs="Arial"/>
          <w:b/>
          <w:sz w:val="24"/>
          <w:szCs w:val="24"/>
        </w:rPr>
        <w:t>Assessment (SARA)</w:t>
      </w:r>
      <w:r w:rsidR="00275DBC" w:rsidRPr="00DE27D3">
        <w:rPr>
          <w:rFonts w:ascii="Arial" w:eastAsia="仿宋_GB2312" w:hAnsi="Arial" w:cs="Arial"/>
          <w:b/>
          <w:sz w:val="24"/>
          <w:szCs w:val="24"/>
        </w:rPr>
        <w:t xml:space="preserve"> in W</w:t>
      </w:r>
      <w:r w:rsidR="00AF76A0">
        <w:rPr>
          <w:rFonts w:ascii="Arial" w:eastAsia="仿宋_GB2312" w:hAnsi="Arial" w:cs="Arial"/>
          <w:b/>
          <w:sz w:val="24"/>
          <w:szCs w:val="24"/>
        </w:rPr>
        <w:t>A</w:t>
      </w:r>
      <w:r w:rsidR="00275DBC" w:rsidRPr="00DE27D3">
        <w:rPr>
          <w:rFonts w:ascii="Arial" w:eastAsia="仿宋_GB2312" w:hAnsi="Arial" w:cs="Arial"/>
          <w:b/>
          <w:sz w:val="24"/>
          <w:szCs w:val="24"/>
        </w:rPr>
        <w:t xml:space="preserve">, SR4 and KSR2 area, </w:t>
      </w:r>
      <w:r w:rsidR="001F10E9" w:rsidRPr="00DE27D3">
        <w:rPr>
          <w:rFonts w:ascii="Arial" w:eastAsia="仿宋_GB2312" w:hAnsi="Arial" w:cs="Arial"/>
          <w:b/>
          <w:sz w:val="24"/>
          <w:szCs w:val="24"/>
        </w:rPr>
        <w:t xml:space="preserve">Union of </w:t>
      </w:r>
      <w:r w:rsidR="00275DBC" w:rsidRPr="00DE27D3">
        <w:rPr>
          <w:rFonts w:ascii="Arial" w:eastAsia="仿宋_GB2312" w:hAnsi="Arial" w:cs="Arial"/>
          <w:b/>
          <w:sz w:val="24"/>
          <w:szCs w:val="24"/>
        </w:rPr>
        <w:t>Myanmar</w:t>
      </w:r>
    </w:p>
    <w:p w:rsidR="00825E92" w:rsidRPr="00DE27D3" w:rsidRDefault="00F31E4C" w:rsidP="00FF6125">
      <w:pPr>
        <w:jc w:val="center"/>
        <w:rPr>
          <w:rFonts w:ascii="Arial" w:eastAsia="仿宋_GB2312" w:hAnsi="Arial" w:cs="Arial"/>
          <w:b/>
          <w:sz w:val="24"/>
          <w:szCs w:val="24"/>
        </w:rPr>
      </w:pPr>
      <w:r w:rsidRPr="00DE27D3">
        <w:rPr>
          <w:rFonts w:ascii="Arial" w:eastAsia="仿宋_GB2312" w:hAnsi="Arial" w:cs="Arial"/>
          <w:b/>
          <w:sz w:val="24"/>
          <w:szCs w:val="24"/>
        </w:rPr>
        <w:t>March</w:t>
      </w:r>
      <w:r w:rsidR="00825E92" w:rsidRPr="00DE27D3">
        <w:rPr>
          <w:rFonts w:ascii="Arial" w:eastAsia="仿宋_GB2312" w:hAnsi="Arial" w:cs="Arial"/>
          <w:b/>
          <w:sz w:val="24"/>
          <w:szCs w:val="24"/>
        </w:rPr>
        <w:t xml:space="preserve"> 201</w:t>
      </w:r>
      <w:r w:rsidRPr="00DE27D3">
        <w:rPr>
          <w:rFonts w:ascii="Arial" w:eastAsia="仿宋_GB2312" w:hAnsi="Arial" w:cs="Arial"/>
          <w:b/>
          <w:sz w:val="24"/>
          <w:szCs w:val="24"/>
        </w:rPr>
        <w:t>7</w:t>
      </w:r>
    </w:p>
    <w:p w:rsidR="00825E92" w:rsidRPr="00DE27D3" w:rsidRDefault="00825E92" w:rsidP="00260B35">
      <w:pPr>
        <w:jc w:val="center"/>
        <w:rPr>
          <w:rFonts w:ascii="Arial" w:eastAsia="仿宋_GB2312" w:hAnsi="Arial" w:cs="Arial"/>
          <w:b/>
          <w:sz w:val="24"/>
          <w:szCs w:val="24"/>
        </w:rPr>
      </w:pPr>
      <w:r w:rsidRPr="00DE27D3">
        <w:rPr>
          <w:rFonts w:ascii="Arial" w:eastAsia="仿宋_GB2312" w:hAnsi="Arial" w:cs="Arial"/>
          <w:b/>
          <w:sz w:val="24"/>
          <w:szCs w:val="24"/>
        </w:rPr>
        <w:t>Funded by: DFID Burma</w:t>
      </w:r>
      <w:bookmarkStart w:id="0" w:name="_GoBack"/>
      <w:bookmarkEnd w:id="0"/>
    </w:p>
    <w:p w:rsidR="009F6CE0" w:rsidRPr="00DE27D3" w:rsidRDefault="009F6CE0" w:rsidP="009F6CE0">
      <w:pPr>
        <w:widowControl w:val="0"/>
        <w:tabs>
          <w:tab w:val="left" w:pos="540"/>
        </w:tabs>
        <w:spacing w:after="0" w:line="240" w:lineRule="auto"/>
        <w:jc w:val="both"/>
        <w:rPr>
          <w:rFonts w:ascii="Arial" w:eastAsia="仿宋_GB2312" w:hAnsi="Arial" w:cs="Arial"/>
          <w:b/>
          <w:szCs w:val="21"/>
          <w:u w:val="single"/>
        </w:rPr>
      </w:pPr>
      <w:r w:rsidRPr="00DE27D3">
        <w:rPr>
          <w:rFonts w:ascii="Arial" w:eastAsia="仿宋_GB2312" w:hAnsi="Arial" w:cs="Arial"/>
          <w:b/>
          <w:szCs w:val="21"/>
          <w:u w:val="single"/>
        </w:rPr>
        <w:t>Background</w:t>
      </w:r>
    </w:p>
    <w:p w:rsidR="009F6CE0" w:rsidRPr="00DE27D3" w:rsidRDefault="009F6CE0" w:rsidP="009F6CE0">
      <w:pPr>
        <w:rPr>
          <w:rFonts w:ascii="Arial" w:hAnsi="Arial" w:cs="Arial"/>
          <w:b/>
          <w:szCs w:val="21"/>
        </w:rPr>
      </w:pPr>
      <w:r w:rsidRPr="00DE27D3">
        <w:rPr>
          <w:rFonts w:ascii="Arial" w:hAnsi="Arial" w:cs="Arial"/>
          <w:b/>
          <w:szCs w:val="21"/>
        </w:rPr>
        <w:t>Health Poverty Action in Myanmar</w:t>
      </w:r>
    </w:p>
    <w:p w:rsidR="009F6CE0" w:rsidRPr="00DE27D3" w:rsidRDefault="009F6CE0" w:rsidP="009F6CE0">
      <w:pPr>
        <w:rPr>
          <w:rFonts w:ascii="Arial" w:hAnsi="Arial" w:cs="Arial"/>
        </w:rPr>
      </w:pPr>
      <w:r w:rsidRPr="00DE27D3">
        <w:rPr>
          <w:rFonts w:ascii="Arial" w:hAnsi="Arial" w:cs="Arial"/>
        </w:rPr>
        <w:t xml:space="preserve">Health Poverty Action (HPA) has been working in Burma’s ceasefire areas bordering with China since 1994. These areas had undergone decades of conflicts with the central government and just reached ceasefire agreements separately with them in around 1989. The availability of health services was extremely limited when HPA began working here, and those that were available were fragile, fragmented and with very limited capacity. Primary health has been the focus of HPA’s work in these areas from the outset. After 20 years of work, HPA has extended its programme to nearly all townships on the Burma China border which were under the control of the ceasefire groups or central government. Due to </w:t>
      </w:r>
      <w:r w:rsidR="00623654" w:rsidRPr="00DE27D3">
        <w:rPr>
          <w:rFonts w:ascii="Arial" w:hAnsi="Arial" w:cs="Arial"/>
        </w:rPr>
        <w:t>factors,</w:t>
      </w:r>
      <w:r w:rsidRPr="00DE27D3">
        <w:rPr>
          <w:rFonts w:ascii="Arial" w:hAnsi="Arial" w:cs="Arial"/>
        </w:rPr>
        <w:t xml:space="preserve"> such as political sensitivities and remote border locations, only a handful of international NGOs are able to access these areas. The current phase of the DFID-funded primary health programme follows earlier PHC projects funded by EC and DFID. HPA currently operates in the region from its East Asia Programme Office in Kunming, China, and has dedicated project offices and teams in each of the Special Regions where it works. It has also established a coordination office in Yangon and capital cities of states bordering with China. All staff working in the region are either Chinese or Burmese nationals.</w:t>
      </w:r>
    </w:p>
    <w:p w:rsidR="004812F6" w:rsidRPr="00DE27D3" w:rsidRDefault="004812F6" w:rsidP="009F6CE0">
      <w:pPr>
        <w:rPr>
          <w:rFonts w:ascii="Arial" w:hAnsi="Arial" w:cs="Arial"/>
          <w:b/>
          <w:szCs w:val="21"/>
          <w:lang w:eastAsia="zh-CN"/>
        </w:rPr>
      </w:pPr>
      <w:r w:rsidRPr="00DE27D3">
        <w:rPr>
          <w:rFonts w:ascii="Arial" w:hAnsi="Arial" w:cs="Arial"/>
          <w:b/>
          <w:szCs w:val="21"/>
        </w:rPr>
        <w:t>SARA</w:t>
      </w:r>
      <w:r w:rsidR="00A34B59" w:rsidRPr="00DE27D3">
        <w:rPr>
          <w:rFonts w:ascii="Arial" w:hAnsi="Arial" w:cs="Arial"/>
          <w:b/>
          <w:szCs w:val="21"/>
        </w:rPr>
        <w:t xml:space="preserve"> </w:t>
      </w:r>
      <w:r w:rsidR="00A34B59" w:rsidRPr="00DE27D3">
        <w:rPr>
          <w:rFonts w:ascii="Arial" w:hAnsi="Arial" w:cs="Arial"/>
          <w:b/>
          <w:szCs w:val="21"/>
          <w:lang w:eastAsia="zh-CN"/>
        </w:rPr>
        <w:t>and DHIS2</w:t>
      </w:r>
    </w:p>
    <w:p w:rsidR="005F78E2" w:rsidRDefault="005F78E2" w:rsidP="005F78E2">
      <w:pPr>
        <w:pStyle w:val="a5"/>
        <w:shd w:val="clear" w:color="auto" w:fill="FFFFFF"/>
        <w:spacing w:before="0" w:beforeAutospacing="0" w:after="0" w:afterAutospacing="0" w:line="270" w:lineRule="atLeast"/>
        <w:ind w:right="300"/>
        <w:textAlignment w:val="baseline"/>
        <w:rPr>
          <w:rFonts w:ascii="Arial" w:eastAsiaTheme="minorEastAsia" w:hAnsi="Arial" w:cs="Arial"/>
          <w:sz w:val="22"/>
          <w:szCs w:val="22"/>
          <w:lang w:val="en-GB" w:eastAsia="en-US"/>
        </w:rPr>
      </w:pPr>
      <w:r w:rsidRPr="00DE27D3">
        <w:rPr>
          <w:rFonts w:ascii="Arial" w:eastAsiaTheme="minorEastAsia" w:hAnsi="Arial" w:cs="Arial"/>
          <w:sz w:val="22"/>
          <w:szCs w:val="22"/>
          <w:lang w:val="en-GB" w:eastAsia="en-US"/>
        </w:rPr>
        <w:t xml:space="preserve">The Service Availability and Readiness Assessment (SARA) is a health facility assessment tool designed to assess and monitor the service availability and readiness of the health sector and to generate evidence to support the planning and managing of a health system. SARA is designed as a systematic survey to generate a set of tracer indicators of service availability and readiness. The survey objective is to generate reliable and regular information on service delivery (such as the availability of key human and infrastructure resources), on the availability of basic equipment, basic amenities, essential medicines, and diagnostic capacities, and on the readiness of health facilities to provide basic </w:t>
      </w:r>
      <w:r w:rsidRPr="00DE27D3">
        <w:rPr>
          <w:rFonts w:ascii="Arial" w:eastAsiaTheme="minorEastAsia" w:hAnsi="Arial" w:cs="Arial"/>
          <w:sz w:val="22"/>
          <w:szCs w:val="22"/>
          <w:lang w:val="en-GB" w:eastAsia="en-US"/>
        </w:rPr>
        <w:lastRenderedPageBreak/>
        <w:t xml:space="preserve">health-care interventions relating to family planning, child health services, basic and comprehensive emergency obstetric care, HIV, TB, malaria, and </w:t>
      </w:r>
      <w:r w:rsidR="00CC79C1">
        <w:rPr>
          <w:rFonts w:ascii="Arial" w:eastAsiaTheme="minorEastAsia" w:hAnsi="Arial" w:cs="Arial"/>
          <w:sz w:val="22"/>
          <w:szCs w:val="22"/>
          <w:lang w:val="en-GB" w:eastAsia="en-US"/>
        </w:rPr>
        <w:t>common</w:t>
      </w:r>
      <w:r w:rsidRPr="00DE27D3">
        <w:rPr>
          <w:rFonts w:ascii="Arial" w:eastAsiaTheme="minorEastAsia" w:hAnsi="Arial" w:cs="Arial"/>
          <w:sz w:val="22"/>
          <w:szCs w:val="22"/>
          <w:lang w:val="en-GB" w:eastAsia="en-US"/>
        </w:rPr>
        <w:t xml:space="preserve"> diseases.</w:t>
      </w:r>
    </w:p>
    <w:p w:rsidR="007D03E9" w:rsidRPr="00DE27D3" w:rsidRDefault="007D03E9" w:rsidP="005F78E2">
      <w:pPr>
        <w:pStyle w:val="a5"/>
        <w:shd w:val="clear" w:color="auto" w:fill="FFFFFF"/>
        <w:spacing w:before="0" w:beforeAutospacing="0" w:after="0" w:afterAutospacing="0" w:line="270" w:lineRule="atLeast"/>
        <w:ind w:right="300"/>
        <w:textAlignment w:val="baseline"/>
        <w:rPr>
          <w:rFonts w:ascii="Arial" w:eastAsiaTheme="minorEastAsia" w:hAnsi="Arial" w:cs="Arial"/>
          <w:sz w:val="22"/>
          <w:szCs w:val="22"/>
          <w:lang w:val="en-GB" w:eastAsia="en-US"/>
        </w:rPr>
      </w:pPr>
    </w:p>
    <w:p w:rsidR="000822AE" w:rsidRPr="007D03E9" w:rsidRDefault="005F78E2" w:rsidP="007D03E9">
      <w:pPr>
        <w:pStyle w:val="a5"/>
        <w:shd w:val="clear" w:color="auto" w:fill="FFFFFF"/>
        <w:spacing w:before="0" w:beforeAutospacing="0" w:after="0" w:afterAutospacing="0" w:line="270" w:lineRule="atLeast"/>
        <w:ind w:right="300"/>
        <w:textAlignment w:val="baseline"/>
        <w:rPr>
          <w:rFonts w:ascii="Arial" w:eastAsiaTheme="minorEastAsia" w:hAnsi="Arial" w:cs="Arial"/>
          <w:sz w:val="22"/>
          <w:szCs w:val="22"/>
          <w:lang w:val="en-GB" w:eastAsia="en-US"/>
        </w:rPr>
      </w:pPr>
      <w:r w:rsidRPr="00DE27D3">
        <w:rPr>
          <w:rFonts w:ascii="Arial" w:hAnsi="Arial" w:cs="Arial"/>
        </w:rPr>
        <w:t xml:space="preserve">Sound information on the supply and quality of health services is necessary for health systems management, monitoring, and evaluation. </w:t>
      </w:r>
      <w:r w:rsidR="006C75CC">
        <w:rPr>
          <w:rFonts w:ascii="Arial" w:hAnsi="Arial" w:cs="Arial"/>
        </w:rPr>
        <w:t>Also, i</w:t>
      </w:r>
      <w:r w:rsidRPr="00DE27D3">
        <w:rPr>
          <w:rFonts w:ascii="Arial" w:hAnsi="Arial" w:cs="Arial"/>
        </w:rPr>
        <w:t xml:space="preserve">nformation is needed to track how health systems respond to increased inputs and improved processes over time and the impact such inputs and processes have on improved health </w:t>
      </w:r>
      <w:r w:rsidRPr="007D03E9">
        <w:rPr>
          <w:rFonts w:ascii="Arial" w:eastAsiaTheme="minorEastAsia" w:hAnsi="Arial" w:cs="Arial"/>
          <w:sz w:val="22"/>
          <w:szCs w:val="22"/>
          <w:lang w:val="en-GB" w:eastAsia="en-US"/>
        </w:rPr>
        <w:t>outcomes and better health status.</w:t>
      </w:r>
    </w:p>
    <w:p w:rsidR="009F1358" w:rsidRDefault="00716E0C" w:rsidP="007D03E9">
      <w:pPr>
        <w:pStyle w:val="a5"/>
        <w:shd w:val="clear" w:color="auto" w:fill="FFFFFF"/>
        <w:spacing w:before="0" w:beforeAutospacing="0" w:after="0" w:afterAutospacing="0" w:line="270" w:lineRule="atLeast"/>
        <w:ind w:right="300"/>
        <w:textAlignment w:val="baseline"/>
        <w:rPr>
          <w:rFonts w:ascii="Arial" w:eastAsiaTheme="minorEastAsia" w:hAnsi="Arial" w:cs="Arial"/>
          <w:sz w:val="22"/>
          <w:szCs w:val="22"/>
          <w:lang w:val="en-GB" w:eastAsia="en-US"/>
        </w:rPr>
      </w:pPr>
      <w:r w:rsidRPr="007D03E9">
        <w:rPr>
          <w:rFonts w:ascii="Arial" w:eastAsiaTheme="minorEastAsia" w:hAnsi="Arial" w:cs="Arial"/>
          <w:sz w:val="22"/>
          <w:szCs w:val="22"/>
          <w:lang w:val="en-GB" w:eastAsia="en-US"/>
        </w:rPr>
        <w:t xml:space="preserve">Due to long term isolation, </w:t>
      </w:r>
      <w:r w:rsidR="001C1646" w:rsidRPr="007D03E9">
        <w:rPr>
          <w:rFonts w:ascii="Arial" w:eastAsiaTheme="minorEastAsia" w:hAnsi="Arial" w:cs="Arial"/>
          <w:sz w:val="22"/>
          <w:szCs w:val="22"/>
          <w:lang w:val="en-GB" w:eastAsia="en-US"/>
        </w:rPr>
        <w:t xml:space="preserve">the health facilities managed by Ethnic Health Organization play a critical and main role in providing preventive and curative public health services to the residents living in ethnic controlled </w:t>
      </w:r>
      <w:r w:rsidR="000A6334" w:rsidRPr="007D03E9">
        <w:rPr>
          <w:rFonts w:ascii="Arial" w:eastAsiaTheme="minorEastAsia" w:hAnsi="Arial" w:cs="Arial"/>
          <w:sz w:val="22"/>
          <w:szCs w:val="22"/>
          <w:lang w:val="en-GB" w:eastAsia="en-US"/>
        </w:rPr>
        <w:t>area along the Myanmar-China border area, which are Northern Shan Special Region 2 (aka</w:t>
      </w:r>
      <w:r w:rsidR="005A6C4A" w:rsidRPr="007D03E9">
        <w:rPr>
          <w:rFonts w:ascii="Arial" w:eastAsiaTheme="minorEastAsia" w:hAnsi="Arial" w:cs="Arial"/>
          <w:sz w:val="22"/>
          <w:szCs w:val="22"/>
          <w:lang w:val="en-GB" w:eastAsia="en-US"/>
        </w:rPr>
        <w:t>,</w:t>
      </w:r>
      <w:r w:rsidR="000A6334" w:rsidRPr="007D03E9">
        <w:rPr>
          <w:rFonts w:ascii="Arial" w:eastAsiaTheme="minorEastAsia" w:hAnsi="Arial" w:cs="Arial"/>
          <w:sz w:val="22"/>
          <w:szCs w:val="22"/>
          <w:lang w:val="en-GB" w:eastAsia="en-US"/>
        </w:rPr>
        <w:t xml:space="preserve"> </w:t>
      </w:r>
      <w:proofErr w:type="spellStart"/>
      <w:r w:rsidR="000A6334" w:rsidRPr="007D03E9">
        <w:rPr>
          <w:rFonts w:ascii="Arial" w:eastAsiaTheme="minorEastAsia" w:hAnsi="Arial" w:cs="Arial"/>
          <w:sz w:val="22"/>
          <w:szCs w:val="22"/>
          <w:lang w:val="en-GB" w:eastAsia="en-US"/>
        </w:rPr>
        <w:t>Wa</w:t>
      </w:r>
      <w:proofErr w:type="spellEnd"/>
      <w:r w:rsidR="000A6334" w:rsidRPr="007D03E9">
        <w:rPr>
          <w:rFonts w:ascii="Arial" w:eastAsiaTheme="minorEastAsia" w:hAnsi="Arial" w:cs="Arial"/>
          <w:sz w:val="22"/>
          <w:szCs w:val="22"/>
          <w:lang w:val="en-GB" w:eastAsia="en-US"/>
        </w:rPr>
        <w:t xml:space="preserve"> region), Eastern Shan</w:t>
      </w:r>
      <w:r w:rsidR="005A6C4A" w:rsidRPr="007D03E9">
        <w:rPr>
          <w:rFonts w:ascii="Arial" w:eastAsiaTheme="minorEastAsia" w:hAnsi="Arial" w:cs="Arial"/>
          <w:sz w:val="22"/>
          <w:szCs w:val="22"/>
          <w:lang w:val="en-GB" w:eastAsia="en-US"/>
        </w:rPr>
        <w:t xml:space="preserve"> Special Region 4 (aka, SR4) and Kachin Special Region 2 (aka, KSR2). </w:t>
      </w:r>
      <w:r w:rsidR="00FD3DE9" w:rsidRPr="007D03E9">
        <w:rPr>
          <w:rFonts w:ascii="Arial" w:eastAsiaTheme="minorEastAsia" w:hAnsi="Arial" w:cs="Arial"/>
          <w:sz w:val="22"/>
          <w:szCs w:val="22"/>
          <w:lang w:val="en-GB" w:eastAsia="en-US"/>
        </w:rPr>
        <w:t>The proposed Service Availability and Readiness Assessment is to reflect the current capacity situation of those health facilities in terms of service provision and guide the future join strengthening planning of Ethnic Health Organizations and HPA.</w:t>
      </w:r>
    </w:p>
    <w:p w:rsidR="007D03E9" w:rsidRPr="007D03E9" w:rsidRDefault="007D03E9" w:rsidP="007D03E9">
      <w:pPr>
        <w:pStyle w:val="a5"/>
        <w:shd w:val="clear" w:color="auto" w:fill="FFFFFF"/>
        <w:spacing w:before="0" w:beforeAutospacing="0" w:after="0" w:afterAutospacing="0" w:line="270" w:lineRule="atLeast"/>
        <w:ind w:right="300"/>
        <w:textAlignment w:val="baseline"/>
        <w:rPr>
          <w:rFonts w:ascii="Arial" w:eastAsiaTheme="minorEastAsia" w:hAnsi="Arial" w:cs="Arial"/>
          <w:sz w:val="22"/>
          <w:szCs w:val="22"/>
          <w:lang w:val="en-GB" w:eastAsia="en-US"/>
        </w:rPr>
      </w:pPr>
    </w:p>
    <w:p w:rsidR="00C96818" w:rsidRDefault="004729E8" w:rsidP="007D03E9">
      <w:pPr>
        <w:pStyle w:val="a5"/>
        <w:shd w:val="clear" w:color="auto" w:fill="FFFFFF"/>
        <w:spacing w:before="0" w:beforeAutospacing="0" w:after="0" w:afterAutospacing="0" w:line="270" w:lineRule="atLeast"/>
        <w:ind w:right="300"/>
        <w:textAlignment w:val="baseline"/>
        <w:rPr>
          <w:rFonts w:ascii="Arial" w:eastAsiaTheme="minorEastAsia" w:hAnsi="Arial" w:cs="Arial"/>
          <w:sz w:val="22"/>
          <w:szCs w:val="22"/>
          <w:lang w:val="en-GB" w:eastAsia="en-US"/>
        </w:rPr>
      </w:pPr>
      <w:r w:rsidRPr="007D03E9">
        <w:rPr>
          <w:rFonts w:ascii="Arial" w:eastAsiaTheme="minorEastAsia" w:hAnsi="Arial" w:cs="Arial"/>
          <w:sz w:val="22"/>
          <w:szCs w:val="22"/>
          <w:lang w:val="en-GB" w:eastAsia="en-US"/>
        </w:rPr>
        <w:t xml:space="preserve">Meanwhile, </w:t>
      </w:r>
      <w:r w:rsidR="003654C8" w:rsidRPr="007D03E9">
        <w:rPr>
          <w:rFonts w:ascii="Arial" w:eastAsiaTheme="minorEastAsia" w:hAnsi="Arial" w:cs="Arial"/>
          <w:sz w:val="22"/>
          <w:szCs w:val="22"/>
          <w:lang w:val="en-GB" w:eastAsia="en-US"/>
        </w:rPr>
        <w:t>HPA as an organisation is currently in the process of rolling-out the DHIS2 health management information system in several countries in its Asia and Latin America programmes, including in Burma. This serves as an opportunity to improve availability and quality of dat</w:t>
      </w:r>
      <w:r w:rsidR="00473786" w:rsidRPr="007D03E9">
        <w:rPr>
          <w:rFonts w:ascii="Arial" w:eastAsiaTheme="minorEastAsia" w:hAnsi="Arial" w:cs="Arial"/>
          <w:sz w:val="22"/>
          <w:szCs w:val="22"/>
          <w:lang w:val="en-GB" w:eastAsia="en-US"/>
        </w:rPr>
        <w:t>a for the areas where HPA works,</w:t>
      </w:r>
      <w:r w:rsidR="003654C8" w:rsidRPr="007D03E9">
        <w:rPr>
          <w:rFonts w:ascii="Arial" w:eastAsiaTheme="minorEastAsia" w:hAnsi="Arial" w:cs="Arial"/>
          <w:sz w:val="22"/>
          <w:szCs w:val="22"/>
          <w:lang w:val="en-GB" w:eastAsia="en-US"/>
        </w:rPr>
        <w:t xml:space="preserve"> areas that generally lack information on health data. The central government of Burma has also been discussing levels and extents of use of the DHIS2 system for health information management in relation to communicable diseases. HPA also plans for DHIS2 to incorporate SARA facility assessment in conjunction with facility scorecards to closely monitor the performance of the health facilities in terms of quality of care and on-going readiness. </w:t>
      </w:r>
    </w:p>
    <w:p w:rsidR="00821844" w:rsidRPr="007D03E9" w:rsidRDefault="00821844" w:rsidP="007D03E9">
      <w:pPr>
        <w:pStyle w:val="a5"/>
        <w:shd w:val="clear" w:color="auto" w:fill="FFFFFF"/>
        <w:spacing w:before="0" w:beforeAutospacing="0" w:after="0" w:afterAutospacing="0" w:line="270" w:lineRule="atLeast"/>
        <w:ind w:right="300"/>
        <w:textAlignment w:val="baseline"/>
        <w:rPr>
          <w:rFonts w:ascii="Arial" w:eastAsiaTheme="minorEastAsia" w:hAnsi="Arial" w:cs="Arial"/>
          <w:sz w:val="22"/>
          <w:szCs w:val="22"/>
          <w:lang w:val="en-GB" w:eastAsia="en-US"/>
        </w:rPr>
      </w:pPr>
    </w:p>
    <w:p w:rsidR="00EA725F" w:rsidRPr="00DE27D3" w:rsidRDefault="00EA725F" w:rsidP="00232FFD">
      <w:pPr>
        <w:widowControl w:val="0"/>
        <w:tabs>
          <w:tab w:val="left" w:pos="540"/>
        </w:tabs>
        <w:spacing w:after="0" w:line="240" w:lineRule="auto"/>
        <w:jc w:val="both"/>
        <w:rPr>
          <w:rFonts w:ascii="Arial" w:eastAsia="仿宋_GB2312" w:hAnsi="Arial" w:cs="Arial"/>
          <w:b/>
          <w:szCs w:val="21"/>
          <w:u w:val="single"/>
        </w:rPr>
      </w:pPr>
      <w:r w:rsidRPr="00DE27D3">
        <w:rPr>
          <w:rFonts w:ascii="Arial" w:eastAsia="仿宋_GB2312" w:hAnsi="Arial" w:cs="Arial"/>
          <w:b/>
          <w:szCs w:val="21"/>
          <w:u w:val="single"/>
        </w:rPr>
        <w:t>Objectives</w:t>
      </w:r>
    </w:p>
    <w:p w:rsidR="00CB378E" w:rsidRPr="00DE27D3" w:rsidRDefault="00CB378E" w:rsidP="00CB378E">
      <w:pPr>
        <w:rPr>
          <w:rFonts w:ascii="Arial" w:hAnsi="Arial" w:cs="Arial"/>
        </w:rPr>
      </w:pPr>
      <w:r w:rsidRPr="00DE27D3">
        <w:rPr>
          <w:rFonts w:ascii="Arial" w:hAnsi="Arial" w:cs="Arial"/>
        </w:rPr>
        <w:t>Ensuring access to quality health services is one of the main functions of a health system.</w:t>
      </w:r>
      <w:r w:rsidRPr="00DE27D3">
        <w:rPr>
          <w:rFonts w:ascii="Arial" w:hAnsi="Arial" w:cs="Arial"/>
          <w:lang w:eastAsia="zh-CN"/>
        </w:rPr>
        <w:t xml:space="preserve"> </w:t>
      </w:r>
      <w:r w:rsidRPr="00DE27D3">
        <w:rPr>
          <w:rFonts w:ascii="Arial" w:hAnsi="Arial" w:cs="Arial"/>
        </w:rPr>
        <w:t>Information is needed to track how health systems respond to increased inputs and improved processes overtime, and the impact such inputs and processes have on improved health outcomes and better health status.</w:t>
      </w:r>
    </w:p>
    <w:p w:rsidR="00FD3DE9" w:rsidRPr="00DE27D3" w:rsidRDefault="00FD3DE9" w:rsidP="00496A2E">
      <w:pPr>
        <w:rPr>
          <w:rFonts w:ascii="Arial" w:hAnsi="Arial" w:cs="Arial"/>
        </w:rPr>
      </w:pPr>
      <w:r w:rsidRPr="00DE27D3">
        <w:rPr>
          <w:rFonts w:ascii="Arial" w:hAnsi="Arial" w:cs="Arial"/>
        </w:rPr>
        <w:t xml:space="preserve">The proposed Service Availability and Readiness Assessment is to reflect the current capacity situation of those health facilities in terms of service provision and </w:t>
      </w:r>
      <w:r w:rsidR="007B2B82" w:rsidRPr="00DE27D3">
        <w:rPr>
          <w:rFonts w:ascii="Arial" w:hAnsi="Arial" w:cs="Arial"/>
        </w:rPr>
        <w:t xml:space="preserve">to </w:t>
      </w:r>
      <w:r w:rsidRPr="00DE27D3">
        <w:rPr>
          <w:rFonts w:ascii="Arial" w:hAnsi="Arial" w:cs="Arial"/>
        </w:rPr>
        <w:t xml:space="preserve">guide the future </w:t>
      </w:r>
      <w:r w:rsidR="00C670A2" w:rsidRPr="00DE27D3">
        <w:rPr>
          <w:rFonts w:ascii="Arial" w:hAnsi="Arial" w:cs="Arial"/>
        </w:rPr>
        <w:t xml:space="preserve">Health System </w:t>
      </w:r>
      <w:r w:rsidRPr="00DE27D3">
        <w:rPr>
          <w:rFonts w:ascii="Arial" w:hAnsi="Arial" w:cs="Arial"/>
        </w:rPr>
        <w:t xml:space="preserve">strengthening planning </w:t>
      </w:r>
      <w:r w:rsidR="00E72F0F" w:rsidRPr="00DE27D3">
        <w:rPr>
          <w:rFonts w:ascii="Arial" w:hAnsi="Arial" w:cs="Arial"/>
        </w:rPr>
        <w:t>by</w:t>
      </w:r>
      <w:r w:rsidRPr="00DE27D3">
        <w:rPr>
          <w:rFonts w:ascii="Arial" w:hAnsi="Arial" w:cs="Arial"/>
        </w:rPr>
        <w:t xml:space="preserve"> Ethnic Health Organizations and </w:t>
      </w:r>
      <w:r w:rsidR="009069F8" w:rsidRPr="00DE27D3">
        <w:rPr>
          <w:rFonts w:ascii="Arial" w:hAnsi="Arial" w:cs="Arial"/>
        </w:rPr>
        <w:t>HPA.</w:t>
      </w:r>
    </w:p>
    <w:p w:rsidR="0092445C" w:rsidRPr="00DE27D3" w:rsidRDefault="007F0020" w:rsidP="001702C2">
      <w:pPr>
        <w:rPr>
          <w:rFonts w:ascii="Arial" w:hAnsi="Arial" w:cs="Arial"/>
        </w:rPr>
      </w:pPr>
      <w:r w:rsidRPr="00DE27D3">
        <w:rPr>
          <w:rFonts w:ascii="Arial" w:hAnsi="Arial" w:cs="Arial"/>
        </w:rPr>
        <w:t xml:space="preserve">The proposed assessment should be conducted in Shan Northern Shan Special Region 2 (aka, </w:t>
      </w:r>
      <w:proofErr w:type="spellStart"/>
      <w:r w:rsidRPr="00DE27D3">
        <w:rPr>
          <w:rFonts w:ascii="Arial" w:hAnsi="Arial" w:cs="Arial"/>
        </w:rPr>
        <w:t>Wa</w:t>
      </w:r>
      <w:proofErr w:type="spellEnd"/>
      <w:r w:rsidRPr="00DE27D3">
        <w:rPr>
          <w:rFonts w:ascii="Arial" w:hAnsi="Arial" w:cs="Arial"/>
        </w:rPr>
        <w:t xml:space="preserve"> region), Eastern Shan Special Region 4 (aka, SR4) and Kachin Special Region 2 (aka, KSR2)</w:t>
      </w:r>
      <w:r w:rsidR="00F603AF" w:rsidRPr="00DE27D3">
        <w:rPr>
          <w:rFonts w:ascii="Arial" w:hAnsi="Arial" w:cs="Arial"/>
        </w:rPr>
        <w:t xml:space="preserve">. </w:t>
      </w:r>
    </w:p>
    <w:p w:rsidR="001B691C" w:rsidRPr="00DE27D3" w:rsidRDefault="00142EA4" w:rsidP="00232FFD">
      <w:pPr>
        <w:widowControl w:val="0"/>
        <w:tabs>
          <w:tab w:val="left" w:pos="540"/>
        </w:tabs>
        <w:spacing w:after="0" w:line="240" w:lineRule="auto"/>
        <w:jc w:val="both"/>
        <w:rPr>
          <w:rFonts w:ascii="Arial" w:eastAsia="仿宋_GB2312" w:hAnsi="Arial" w:cs="Arial"/>
          <w:b/>
          <w:szCs w:val="21"/>
          <w:u w:val="single"/>
        </w:rPr>
      </w:pPr>
      <w:r w:rsidRPr="00DE27D3">
        <w:rPr>
          <w:rFonts w:ascii="Arial" w:eastAsia="仿宋_GB2312" w:hAnsi="Arial" w:cs="Arial"/>
          <w:b/>
          <w:szCs w:val="21"/>
          <w:u w:val="single"/>
        </w:rPr>
        <w:lastRenderedPageBreak/>
        <w:t xml:space="preserve">Methodology of SARA and </w:t>
      </w:r>
      <w:r w:rsidR="001B691C" w:rsidRPr="00DE27D3">
        <w:rPr>
          <w:rFonts w:ascii="Arial" w:eastAsia="仿宋_GB2312" w:hAnsi="Arial" w:cs="Arial"/>
          <w:b/>
          <w:szCs w:val="21"/>
          <w:u w:val="single"/>
        </w:rPr>
        <w:t>Expected Output</w:t>
      </w:r>
    </w:p>
    <w:p w:rsidR="00873863" w:rsidRPr="00DE27D3" w:rsidRDefault="00873863" w:rsidP="0053081C">
      <w:pPr>
        <w:rPr>
          <w:rFonts w:ascii="Arial" w:hAnsi="Arial" w:cs="Arial"/>
          <w:b/>
        </w:rPr>
      </w:pPr>
      <w:r w:rsidRPr="00DE27D3">
        <w:rPr>
          <w:rFonts w:ascii="Arial" w:hAnsi="Arial" w:cs="Arial"/>
          <w:b/>
        </w:rPr>
        <w:t>Methodology</w:t>
      </w:r>
    </w:p>
    <w:p w:rsidR="00232FFD" w:rsidRPr="00DE27D3" w:rsidRDefault="00B5687E" w:rsidP="0053081C">
      <w:pPr>
        <w:rPr>
          <w:rFonts w:ascii="Arial" w:hAnsi="Arial" w:cs="Arial"/>
          <w:lang w:eastAsia="zh-CN"/>
        </w:rPr>
      </w:pPr>
      <w:r w:rsidRPr="00DE27D3">
        <w:rPr>
          <w:rFonts w:ascii="Arial" w:hAnsi="Arial" w:cs="Arial"/>
          <w:lang w:eastAsia="zh-CN"/>
        </w:rPr>
        <w:t>Generally, t</w:t>
      </w:r>
      <w:r w:rsidR="00C21CC9" w:rsidRPr="00DE27D3">
        <w:rPr>
          <w:rFonts w:ascii="Arial" w:hAnsi="Arial" w:cs="Arial"/>
          <w:lang w:eastAsia="zh-CN"/>
        </w:rPr>
        <w:t>he methodology of proposed SARA should be in line with the WHO’s</w:t>
      </w:r>
      <w:r w:rsidR="007F01C4" w:rsidRPr="00DE27D3">
        <w:rPr>
          <w:rFonts w:ascii="Arial" w:hAnsi="Arial" w:cs="Arial"/>
          <w:lang w:eastAsia="zh-CN"/>
        </w:rPr>
        <w:t xml:space="preserve"> </w:t>
      </w:r>
      <w:r w:rsidR="00982254" w:rsidRPr="00DE27D3">
        <w:rPr>
          <w:rFonts w:ascii="Arial" w:hAnsi="Arial" w:cs="Arial"/>
          <w:lang w:eastAsia="zh-CN"/>
        </w:rPr>
        <w:t>operational guideline</w:t>
      </w:r>
      <w:r w:rsidR="00FB5754" w:rsidRPr="00DE27D3">
        <w:rPr>
          <w:rFonts w:ascii="Arial" w:hAnsi="Arial" w:cs="Arial"/>
          <w:lang w:eastAsia="zh-CN"/>
        </w:rPr>
        <w:t xml:space="preserve"> and </w:t>
      </w:r>
      <w:r w:rsidR="003C7B0C" w:rsidRPr="00DE27D3">
        <w:rPr>
          <w:rFonts w:ascii="Arial" w:hAnsi="Arial" w:cs="Arial"/>
          <w:lang w:eastAsia="zh-CN"/>
        </w:rPr>
        <w:t>take example</w:t>
      </w:r>
      <w:r w:rsidR="00FB5754" w:rsidRPr="00DE27D3">
        <w:rPr>
          <w:rFonts w:ascii="Arial" w:hAnsi="Arial" w:cs="Arial"/>
          <w:lang w:eastAsia="zh-CN"/>
        </w:rPr>
        <w:t xml:space="preserve"> steps</w:t>
      </w:r>
      <w:r w:rsidR="003C7B0C" w:rsidRPr="00DE27D3">
        <w:rPr>
          <w:rFonts w:ascii="Arial" w:hAnsi="Arial" w:cs="Arial"/>
          <w:lang w:eastAsia="zh-CN"/>
        </w:rPr>
        <w:t xml:space="preserve"> below</w:t>
      </w:r>
      <w:r w:rsidR="00FB5754" w:rsidRPr="00DE27D3">
        <w:rPr>
          <w:rFonts w:ascii="Arial" w:hAnsi="Arial" w:cs="Arial"/>
          <w:lang w:eastAsia="zh-CN"/>
        </w:rPr>
        <w:t xml:space="preserve"> which are suggested.</w:t>
      </w:r>
      <w:r w:rsidR="003E779D" w:rsidRPr="00DE27D3">
        <w:rPr>
          <w:rFonts w:ascii="Arial" w:hAnsi="Arial" w:cs="Arial"/>
          <w:lang w:eastAsia="zh-CN"/>
        </w:rPr>
        <w:t xml:space="preserve"> But the steps should be tailored according to the field situation (suggest to discuss with the contact person in the end of </w:t>
      </w:r>
      <w:proofErr w:type="spellStart"/>
      <w:r w:rsidR="003E779D" w:rsidRPr="00DE27D3">
        <w:rPr>
          <w:rFonts w:ascii="Arial" w:hAnsi="Arial" w:cs="Arial"/>
          <w:lang w:eastAsia="zh-CN"/>
        </w:rPr>
        <w:t>ToR</w:t>
      </w:r>
      <w:proofErr w:type="spellEnd"/>
      <w:r w:rsidR="003E779D" w:rsidRPr="00DE27D3">
        <w:rPr>
          <w:rFonts w:ascii="Arial" w:hAnsi="Arial" w:cs="Arial"/>
          <w:lang w:eastAsia="zh-CN"/>
        </w:rPr>
        <w:t>)</w:t>
      </w:r>
      <w:r w:rsidR="00FB5754" w:rsidRPr="00DE27D3">
        <w:rPr>
          <w:rFonts w:ascii="Arial" w:hAnsi="Arial" w:cs="Arial"/>
          <w:lang w:eastAsia="zh-CN"/>
        </w:rPr>
        <w:t xml:space="preserve"> </w:t>
      </w:r>
    </w:p>
    <w:p w:rsidR="00873863" w:rsidRPr="00DE27D3" w:rsidRDefault="0053081C" w:rsidP="0053081C">
      <w:pPr>
        <w:rPr>
          <w:rFonts w:ascii="Arial" w:hAnsi="Arial" w:cs="Arial"/>
          <w:lang w:eastAsia="zh-CN"/>
        </w:rPr>
      </w:pPr>
      <w:r w:rsidRPr="00DE27D3">
        <w:rPr>
          <w:rFonts w:ascii="Arial" w:hAnsi="Arial" w:cs="Arial"/>
          <w:noProof/>
          <w:lang w:val="en-US" w:eastAsia="zh-CN"/>
        </w:rPr>
        <w:drawing>
          <wp:inline distT="0" distB="0" distL="0" distR="0" wp14:anchorId="29433231" wp14:editId="03A09836">
            <wp:extent cx="5541406" cy="4500438"/>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66830" cy="4521086"/>
                    </a:xfrm>
                    <a:prstGeom prst="rect">
                      <a:avLst/>
                    </a:prstGeom>
                  </pic:spPr>
                </pic:pic>
              </a:graphicData>
            </a:graphic>
          </wp:inline>
        </w:drawing>
      </w:r>
    </w:p>
    <w:p w:rsidR="00873863" w:rsidRPr="00DE27D3" w:rsidRDefault="00873863" w:rsidP="005C2E7F">
      <w:pPr>
        <w:rPr>
          <w:rFonts w:ascii="Arial" w:hAnsi="Arial" w:cs="Arial"/>
          <w:b/>
        </w:rPr>
      </w:pPr>
      <w:r w:rsidRPr="00DE27D3">
        <w:rPr>
          <w:rFonts w:ascii="Arial" w:hAnsi="Arial" w:cs="Arial"/>
          <w:b/>
        </w:rPr>
        <w:t>Expected Output</w:t>
      </w:r>
    </w:p>
    <w:p w:rsidR="005C2E7F" w:rsidRDefault="005C2E7F" w:rsidP="005C2E7F">
      <w:pPr>
        <w:widowControl w:val="0"/>
        <w:tabs>
          <w:tab w:val="left" w:pos="540"/>
        </w:tabs>
        <w:spacing w:after="0" w:line="240" w:lineRule="auto"/>
        <w:jc w:val="both"/>
        <w:rPr>
          <w:rFonts w:ascii="Arial" w:hAnsi="Arial" w:cs="Arial"/>
        </w:rPr>
      </w:pPr>
      <w:r w:rsidRPr="00DE27D3">
        <w:rPr>
          <w:rFonts w:ascii="Arial" w:hAnsi="Arial" w:cs="Arial"/>
        </w:rPr>
        <w:t>When designing the SARA, the consultant need to understand how HPA will use the results:</w:t>
      </w:r>
    </w:p>
    <w:p w:rsidR="00CF2FB6" w:rsidRPr="00DE27D3" w:rsidRDefault="00CF2FB6" w:rsidP="005C2E7F">
      <w:pPr>
        <w:widowControl w:val="0"/>
        <w:tabs>
          <w:tab w:val="left" w:pos="540"/>
        </w:tabs>
        <w:spacing w:after="0" w:line="240" w:lineRule="auto"/>
        <w:jc w:val="both"/>
        <w:rPr>
          <w:rFonts w:ascii="Arial" w:hAnsi="Arial" w:cs="Arial"/>
        </w:rPr>
      </w:pPr>
    </w:p>
    <w:p w:rsidR="005C2E7F" w:rsidRPr="00DE27D3" w:rsidRDefault="005C2E7F" w:rsidP="005C2E7F">
      <w:pPr>
        <w:rPr>
          <w:rFonts w:ascii="Arial" w:hAnsi="Arial" w:cs="Arial"/>
        </w:rPr>
      </w:pPr>
      <w:r w:rsidRPr="00DE27D3">
        <w:rPr>
          <w:rFonts w:ascii="Arial" w:hAnsi="Arial" w:cs="Arial"/>
        </w:rPr>
        <w:t>• detect change and measure progress in health system strengthening over time. 2017 SARA result will be serve as a baseline and benchmark.</w:t>
      </w:r>
      <w:r w:rsidR="00CF2FB6">
        <w:rPr>
          <w:rFonts w:ascii="Arial" w:hAnsi="Arial" w:cs="Arial"/>
        </w:rPr>
        <w:t xml:space="preserve"> DHIS2 App will be use as a data collecting tool and will be used repeatedly</w:t>
      </w:r>
      <w:r w:rsidR="004F14DF">
        <w:rPr>
          <w:rFonts w:ascii="Arial" w:hAnsi="Arial" w:cs="Arial"/>
        </w:rPr>
        <w:t>.</w:t>
      </w:r>
    </w:p>
    <w:p w:rsidR="005C2E7F" w:rsidRPr="00DE27D3" w:rsidRDefault="005C2E7F" w:rsidP="005C2E7F">
      <w:pPr>
        <w:rPr>
          <w:rFonts w:ascii="Arial" w:hAnsi="Arial" w:cs="Arial"/>
        </w:rPr>
      </w:pPr>
      <w:r w:rsidRPr="00DE27D3">
        <w:rPr>
          <w:rFonts w:ascii="Arial" w:hAnsi="Arial" w:cs="Arial"/>
        </w:rPr>
        <w:t>• plan and monitor the scale-up of interventions that are key to achieving country health targets, such as</w:t>
      </w:r>
      <w:r w:rsidRPr="00DE27D3">
        <w:rPr>
          <w:rFonts w:ascii="Arial" w:hAnsi="Arial" w:cs="Arial"/>
          <w:lang w:eastAsia="zh-CN"/>
        </w:rPr>
        <w:t xml:space="preserve"> </w:t>
      </w:r>
      <w:r w:rsidRPr="00DE27D3">
        <w:rPr>
          <w:rFonts w:ascii="Arial" w:hAnsi="Arial" w:cs="Arial"/>
        </w:rPr>
        <w:t>implementing interventions to reduce child and maternal mortality, HIV/AIDS, tuberculosis and malaria,</w:t>
      </w:r>
      <w:r w:rsidRPr="00DE27D3">
        <w:rPr>
          <w:rFonts w:ascii="Arial" w:hAnsi="Arial" w:cs="Arial"/>
          <w:lang w:eastAsia="zh-CN"/>
        </w:rPr>
        <w:t xml:space="preserve"> </w:t>
      </w:r>
      <w:r w:rsidRPr="00DE27D3">
        <w:rPr>
          <w:rFonts w:ascii="Arial" w:hAnsi="Arial" w:cs="Arial"/>
        </w:rPr>
        <w:t xml:space="preserve">and other essential health services defied by Myanmar </w:t>
      </w:r>
      <w:proofErr w:type="spellStart"/>
      <w:r w:rsidRPr="00DE27D3">
        <w:rPr>
          <w:rFonts w:ascii="Arial" w:hAnsi="Arial" w:cs="Arial"/>
        </w:rPr>
        <w:t>MoHS</w:t>
      </w:r>
      <w:proofErr w:type="spellEnd"/>
      <w:r w:rsidRPr="00DE27D3">
        <w:rPr>
          <w:rFonts w:ascii="Arial" w:hAnsi="Arial" w:cs="Arial"/>
        </w:rPr>
        <w:t>.</w:t>
      </w:r>
    </w:p>
    <w:p w:rsidR="005C2E7F" w:rsidRPr="00DE27D3" w:rsidRDefault="005C2E7F" w:rsidP="005C2E7F">
      <w:pPr>
        <w:rPr>
          <w:rFonts w:ascii="Arial" w:hAnsi="Arial" w:cs="Arial"/>
        </w:rPr>
      </w:pPr>
      <w:r w:rsidRPr="00DE27D3">
        <w:rPr>
          <w:rFonts w:ascii="Arial" w:hAnsi="Arial" w:cs="Arial"/>
        </w:rPr>
        <w:lastRenderedPageBreak/>
        <w:t>• generate the evidence base to feed into EHO/HPA’s annual health reviews, to better inform the</w:t>
      </w:r>
      <w:r w:rsidRPr="00DE27D3">
        <w:rPr>
          <w:rFonts w:ascii="Arial" w:hAnsi="Arial" w:cs="Arial"/>
          <w:lang w:eastAsia="zh-CN"/>
        </w:rPr>
        <w:t xml:space="preserve"> </w:t>
      </w:r>
      <w:r w:rsidRPr="00DE27D3">
        <w:rPr>
          <w:rFonts w:ascii="Arial" w:hAnsi="Arial" w:cs="Arial"/>
        </w:rPr>
        <w:t>development of annual operational plans and to guide more effective investment for health;</w:t>
      </w:r>
    </w:p>
    <w:p w:rsidR="005C2E7F" w:rsidRPr="00DE27D3" w:rsidRDefault="005C2E7F" w:rsidP="005C2E7F">
      <w:pPr>
        <w:rPr>
          <w:rFonts w:ascii="Arial" w:hAnsi="Arial" w:cs="Arial"/>
        </w:rPr>
      </w:pPr>
      <w:r w:rsidRPr="00DE27D3">
        <w:rPr>
          <w:rFonts w:ascii="Arial" w:hAnsi="Arial" w:cs="Arial"/>
        </w:rPr>
        <w:t>• support future planning and managing health systems (e.g. assessing equitable and</w:t>
      </w:r>
      <w:r w:rsidRPr="00DE27D3">
        <w:rPr>
          <w:rFonts w:ascii="Arial" w:hAnsi="Arial" w:cs="Arial"/>
          <w:lang w:eastAsia="zh-CN"/>
        </w:rPr>
        <w:t xml:space="preserve"> </w:t>
      </w:r>
      <w:r w:rsidRPr="00DE27D3">
        <w:rPr>
          <w:rFonts w:ascii="Arial" w:hAnsi="Arial" w:cs="Arial"/>
        </w:rPr>
        <w:t>appropriate distribution of services, human resources and availability of medicines and supplies)</w:t>
      </w:r>
    </w:p>
    <w:p w:rsidR="005C2E7F" w:rsidRPr="00DE27D3" w:rsidRDefault="000274F2" w:rsidP="0053081C">
      <w:pPr>
        <w:rPr>
          <w:rFonts w:ascii="Arial" w:hAnsi="Arial" w:cs="Arial"/>
        </w:rPr>
      </w:pPr>
      <w:r w:rsidRPr="00DE27D3">
        <w:rPr>
          <w:rFonts w:ascii="Arial" w:hAnsi="Arial" w:cs="Arial"/>
        </w:rPr>
        <w:t>Therefore, the consultant should:</w:t>
      </w:r>
    </w:p>
    <w:p w:rsidR="00873863" w:rsidRPr="00DE27D3" w:rsidRDefault="00971DA3" w:rsidP="00971DA3">
      <w:pPr>
        <w:pStyle w:val="a6"/>
        <w:numPr>
          <w:ilvl w:val="0"/>
          <w:numId w:val="4"/>
        </w:numPr>
        <w:ind w:firstLineChars="0"/>
        <w:rPr>
          <w:rFonts w:ascii="Arial" w:hAnsi="Arial" w:cs="Arial"/>
          <w:lang w:eastAsia="zh-CN"/>
        </w:rPr>
      </w:pPr>
      <w:r w:rsidRPr="00DE27D3">
        <w:rPr>
          <w:rFonts w:ascii="Arial" w:hAnsi="Arial" w:cs="Arial"/>
          <w:lang w:eastAsia="zh-CN"/>
        </w:rPr>
        <w:t>A</w:t>
      </w:r>
      <w:r w:rsidR="002A460B" w:rsidRPr="00DE27D3">
        <w:rPr>
          <w:rFonts w:ascii="Arial" w:hAnsi="Arial" w:cs="Arial"/>
          <w:lang w:eastAsia="zh-CN"/>
        </w:rPr>
        <w:t xml:space="preserve"> set of tailored and reusable tools for SARA</w:t>
      </w:r>
      <w:r w:rsidR="004A0E67" w:rsidRPr="00DE27D3">
        <w:rPr>
          <w:rFonts w:ascii="Arial" w:hAnsi="Arial" w:cs="Arial"/>
          <w:lang w:eastAsia="zh-CN"/>
        </w:rPr>
        <w:t>. Electricize the tool by usi</w:t>
      </w:r>
      <w:r w:rsidR="00A2433E">
        <w:rPr>
          <w:rFonts w:ascii="Arial" w:hAnsi="Arial" w:cs="Arial"/>
          <w:lang w:eastAsia="zh-CN"/>
        </w:rPr>
        <w:t>ng DHIS2(HPA will work with its partner</w:t>
      </w:r>
      <w:r w:rsidR="004A0E67" w:rsidRPr="00DE27D3">
        <w:rPr>
          <w:rFonts w:ascii="Arial" w:hAnsi="Arial" w:cs="Arial"/>
          <w:lang w:eastAsia="zh-CN"/>
        </w:rPr>
        <w:t xml:space="preserve"> on this and consultant need to provide paper based tools, such as questionnaires, please reach contact person if you need additional </w:t>
      </w:r>
      <w:r w:rsidR="00C66386" w:rsidRPr="00DE27D3">
        <w:rPr>
          <w:rFonts w:ascii="Arial" w:hAnsi="Arial" w:cs="Arial"/>
          <w:lang w:eastAsia="zh-CN"/>
        </w:rPr>
        <w:t>information)</w:t>
      </w:r>
      <w:r w:rsidR="00630667" w:rsidRPr="00DE27D3">
        <w:rPr>
          <w:rFonts w:ascii="Arial" w:hAnsi="Arial" w:cs="Arial"/>
          <w:lang w:eastAsia="zh-CN"/>
        </w:rPr>
        <w:t>. The information/key information to be collected, should be easy to collect and focus on Primary Health Care service.</w:t>
      </w:r>
    </w:p>
    <w:p w:rsidR="004A0E67" w:rsidRPr="00DE27D3" w:rsidRDefault="004A0E67" w:rsidP="00971DA3">
      <w:pPr>
        <w:pStyle w:val="a6"/>
        <w:numPr>
          <w:ilvl w:val="0"/>
          <w:numId w:val="4"/>
        </w:numPr>
        <w:ind w:firstLineChars="0"/>
        <w:rPr>
          <w:rFonts w:ascii="Arial" w:hAnsi="Arial" w:cs="Arial"/>
          <w:lang w:eastAsia="zh-CN"/>
        </w:rPr>
      </w:pPr>
      <w:r w:rsidRPr="00DE27D3">
        <w:rPr>
          <w:rFonts w:ascii="Arial" w:hAnsi="Arial" w:cs="Arial"/>
          <w:lang w:eastAsia="zh-CN"/>
        </w:rPr>
        <w:t>Provide training</w:t>
      </w:r>
      <w:r w:rsidR="00FF49E2" w:rsidRPr="00DE27D3">
        <w:rPr>
          <w:rFonts w:ascii="Arial" w:hAnsi="Arial" w:cs="Arial"/>
          <w:lang w:eastAsia="zh-CN"/>
        </w:rPr>
        <w:t xml:space="preserve"> as well as materials</w:t>
      </w:r>
      <w:r w:rsidRPr="00DE27D3">
        <w:rPr>
          <w:rFonts w:ascii="Arial" w:hAnsi="Arial" w:cs="Arial"/>
          <w:lang w:eastAsia="zh-CN"/>
        </w:rPr>
        <w:t xml:space="preserve"> to HPA and EHO staff for collecting</w:t>
      </w:r>
      <w:r w:rsidR="00FF49E2" w:rsidRPr="00DE27D3">
        <w:rPr>
          <w:rFonts w:ascii="Arial" w:hAnsi="Arial" w:cs="Arial"/>
          <w:lang w:eastAsia="zh-CN"/>
        </w:rPr>
        <w:t xml:space="preserve"> the data/information and supervising the process.</w:t>
      </w:r>
    </w:p>
    <w:p w:rsidR="000D2960" w:rsidRPr="00DE27D3" w:rsidRDefault="000D2960" w:rsidP="00971DA3">
      <w:pPr>
        <w:pStyle w:val="a6"/>
        <w:numPr>
          <w:ilvl w:val="0"/>
          <w:numId w:val="4"/>
        </w:numPr>
        <w:ind w:firstLineChars="0"/>
        <w:rPr>
          <w:rFonts w:ascii="Arial" w:hAnsi="Arial" w:cs="Arial"/>
          <w:lang w:eastAsia="zh-CN"/>
        </w:rPr>
      </w:pPr>
      <w:r w:rsidRPr="00DE27D3">
        <w:rPr>
          <w:rFonts w:ascii="Arial" w:hAnsi="Arial" w:cs="Arial"/>
          <w:lang w:eastAsia="zh-CN"/>
        </w:rPr>
        <w:t xml:space="preserve">Provide a systematic report </w:t>
      </w:r>
      <w:r w:rsidR="00DF690B" w:rsidRPr="00DE27D3">
        <w:rPr>
          <w:rFonts w:ascii="Arial" w:hAnsi="Arial" w:cs="Arial"/>
          <w:lang w:eastAsia="zh-CN"/>
        </w:rPr>
        <w:t xml:space="preserve">(one area, one report) </w:t>
      </w:r>
      <w:r w:rsidRPr="00DE27D3">
        <w:rPr>
          <w:rFonts w:ascii="Arial" w:hAnsi="Arial" w:cs="Arial"/>
          <w:lang w:eastAsia="zh-CN"/>
        </w:rPr>
        <w:t xml:space="preserve">to </w:t>
      </w:r>
      <w:r w:rsidR="00DF690B" w:rsidRPr="00DE27D3">
        <w:rPr>
          <w:rFonts w:ascii="Arial" w:hAnsi="Arial" w:cs="Arial"/>
          <w:lang w:eastAsia="zh-CN"/>
        </w:rPr>
        <w:t xml:space="preserve">describe </w:t>
      </w:r>
      <w:r w:rsidR="00656ED4" w:rsidRPr="00DE27D3">
        <w:rPr>
          <w:rFonts w:ascii="Arial" w:hAnsi="Arial" w:cs="Arial"/>
          <w:lang w:eastAsia="zh-CN"/>
        </w:rPr>
        <w:t xml:space="preserve">and </w:t>
      </w:r>
      <w:r w:rsidR="00DF690B" w:rsidRPr="00DE27D3">
        <w:rPr>
          <w:rFonts w:ascii="Arial" w:hAnsi="Arial" w:cs="Arial"/>
          <w:lang w:eastAsia="zh-CN"/>
        </w:rPr>
        <w:t xml:space="preserve">analysis </w:t>
      </w:r>
      <w:r w:rsidR="00656ED4" w:rsidRPr="00DE27D3">
        <w:rPr>
          <w:rFonts w:ascii="Arial" w:hAnsi="Arial" w:cs="Arial"/>
          <w:lang w:eastAsia="zh-CN"/>
        </w:rPr>
        <w:t>the capacity of EHO’s health facilitie</w:t>
      </w:r>
      <w:r w:rsidR="0056719C" w:rsidRPr="00DE27D3">
        <w:rPr>
          <w:rFonts w:ascii="Arial" w:hAnsi="Arial" w:cs="Arial"/>
          <w:lang w:eastAsia="zh-CN"/>
        </w:rPr>
        <w:t>s</w:t>
      </w:r>
      <w:r w:rsidR="00DF690B" w:rsidRPr="00DE27D3">
        <w:rPr>
          <w:rFonts w:ascii="Arial" w:hAnsi="Arial" w:cs="Arial"/>
          <w:lang w:eastAsia="zh-CN"/>
        </w:rPr>
        <w:t xml:space="preserve"> in terms of service provision and to provide </w:t>
      </w:r>
      <w:proofErr w:type="spellStart"/>
      <w:r w:rsidR="00DF690B" w:rsidRPr="00DE27D3">
        <w:rPr>
          <w:rFonts w:ascii="Arial" w:hAnsi="Arial" w:cs="Arial"/>
          <w:lang w:eastAsia="zh-CN"/>
        </w:rPr>
        <w:t>recoomodations</w:t>
      </w:r>
      <w:proofErr w:type="spellEnd"/>
      <w:r w:rsidR="00DF690B" w:rsidRPr="00DE27D3">
        <w:rPr>
          <w:rFonts w:ascii="Arial" w:hAnsi="Arial" w:cs="Arial"/>
          <w:lang w:eastAsia="zh-CN"/>
        </w:rPr>
        <w:t>.</w:t>
      </w:r>
    </w:p>
    <w:p w:rsidR="000B089A" w:rsidRPr="00DE27D3" w:rsidRDefault="00800885" w:rsidP="00CE44FA">
      <w:pPr>
        <w:rPr>
          <w:rFonts w:ascii="Arial" w:hAnsi="Arial" w:cs="Arial"/>
          <w:b/>
          <w:lang w:eastAsia="zh-CN"/>
        </w:rPr>
      </w:pPr>
      <w:r w:rsidRPr="00DE27D3">
        <w:rPr>
          <w:rFonts w:ascii="Arial" w:hAnsi="Arial" w:cs="Arial"/>
          <w:b/>
          <w:lang w:eastAsia="zh-CN"/>
        </w:rPr>
        <w:t>Timeline</w:t>
      </w:r>
    </w:p>
    <w:tbl>
      <w:tblPr>
        <w:tblW w:w="5000" w:type="pct"/>
        <w:tblLook w:val="04A0" w:firstRow="1" w:lastRow="0" w:firstColumn="1" w:lastColumn="0" w:noHBand="0" w:noVBand="1"/>
      </w:tblPr>
      <w:tblGrid>
        <w:gridCol w:w="1552"/>
        <w:gridCol w:w="1729"/>
        <w:gridCol w:w="1531"/>
        <w:gridCol w:w="1556"/>
        <w:gridCol w:w="1928"/>
      </w:tblGrid>
      <w:tr w:rsidR="00AC6316" w:rsidRPr="00DE27D3" w:rsidTr="00B25FAE">
        <w:trPr>
          <w:trHeight w:val="1030"/>
        </w:trPr>
        <w:tc>
          <w:tcPr>
            <w:tcW w:w="93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17A47" w:rsidRPr="00DE27D3" w:rsidRDefault="00F17A47" w:rsidP="00F17A47">
            <w:pPr>
              <w:spacing w:after="0" w:line="240" w:lineRule="auto"/>
              <w:jc w:val="center"/>
              <w:rPr>
                <w:rFonts w:ascii="Arial" w:eastAsia="Microsoft JhengHei Light" w:hAnsi="Arial" w:cs="Arial"/>
                <w:color w:val="000000"/>
                <w:sz w:val="18"/>
                <w:lang w:val="en-US" w:eastAsia="zh-CN"/>
              </w:rPr>
            </w:pPr>
            <w:r w:rsidRPr="00DE27D3">
              <w:rPr>
                <w:rFonts w:ascii="Arial" w:eastAsia="Microsoft JhengHei Light" w:hAnsi="Arial" w:cs="Arial"/>
                <w:color w:val="000000"/>
                <w:sz w:val="18"/>
                <w:lang w:val="en-US" w:eastAsia="zh-CN"/>
              </w:rPr>
              <w:t>March</w:t>
            </w:r>
          </w:p>
        </w:tc>
        <w:tc>
          <w:tcPr>
            <w:tcW w:w="1042"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17A47" w:rsidRPr="00DE27D3" w:rsidRDefault="00F17A47" w:rsidP="00F17A47">
            <w:pPr>
              <w:spacing w:after="0" w:line="240" w:lineRule="auto"/>
              <w:jc w:val="center"/>
              <w:rPr>
                <w:rFonts w:ascii="Arial" w:eastAsia="Microsoft JhengHei Light" w:hAnsi="Arial" w:cs="Arial"/>
                <w:color w:val="000000"/>
                <w:sz w:val="18"/>
                <w:lang w:val="en-US" w:eastAsia="zh-CN"/>
              </w:rPr>
            </w:pPr>
            <w:r w:rsidRPr="00DE27D3">
              <w:rPr>
                <w:rFonts w:ascii="Arial" w:eastAsia="Microsoft JhengHei Light" w:hAnsi="Arial" w:cs="Arial"/>
                <w:color w:val="000000"/>
                <w:sz w:val="18"/>
                <w:lang w:val="en-US" w:eastAsia="zh-CN"/>
              </w:rPr>
              <w:t>1st-15th April</w:t>
            </w:r>
          </w:p>
        </w:tc>
        <w:tc>
          <w:tcPr>
            <w:tcW w:w="923"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17A47" w:rsidRPr="00DE27D3" w:rsidRDefault="00F17A47" w:rsidP="00F17A47">
            <w:pPr>
              <w:spacing w:after="0" w:line="240" w:lineRule="auto"/>
              <w:jc w:val="center"/>
              <w:rPr>
                <w:rFonts w:ascii="Arial" w:eastAsia="Microsoft JhengHei Light" w:hAnsi="Arial" w:cs="Arial"/>
                <w:color w:val="000000"/>
                <w:sz w:val="18"/>
                <w:lang w:val="en-US" w:eastAsia="zh-CN"/>
              </w:rPr>
            </w:pPr>
            <w:r w:rsidRPr="00DE27D3">
              <w:rPr>
                <w:rFonts w:ascii="Arial" w:eastAsia="Microsoft JhengHei Light" w:hAnsi="Arial" w:cs="Arial"/>
                <w:color w:val="000000"/>
                <w:sz w:val="18"/>
                <w:lang w:val="en-US" w:eastAsia="zh-CN"/>
              </w:rPr>
              <w:t>15th May</w:t>
            </w:r>
          </w:p>
        </w:tc>
        <w:tc>
          <w:tcPr>
            <w:tcW w:w="93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17A47" w:rsidRPr="00DE27D3" w:rsidRDefault="00F17A47" w:rsidP="00F17A47">
            <w:pPr>
              <w:spacing w:after="0" w:line="240" w:lineRule="auto"/>
              <w:jc w:val="center"/>
              <w:rPr>
                <w:rFonts w:ascii="Arial" w:eastAsia="Microsoft JhengHei Light" w:hAnsi="Arial" w:cs="Arial"/>
                <w:color w:val="000000"/>
                <w:sz w:val="18"/>
                <w:lang w:val="en-US" w:eastAsia="zh-CN"/>
              </w:rPr>
            </w:pPr>
            <w:r w:rsidRPr="00DE27D3">
              <w:rPr>
                <w:rFonts w:ascii="Arial" w:eastAsia="Microsoft JhengHei Light" w:hAnsi="Arial" w:cs="Arial"/>
                <w:color w:val="000000"/>
                <w:sz w:val="18"/>
                <w:lang w:val="en-US" w:eastAsia="zh-CN"/>
              </w:rPr>
              <w:t>16th May-15 June</w:t>
            </w:r>
          </w:p>
        </w:tc>
        <w:tc>
          <w:tcPr>
            <w:tcW w:w="1162"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17A47" w:rsidRPr="00DE27D3" w:rsidRDefault="00F17A47" w:rsidP="00F17A47">
            <w:pPr>
              <w:spacing w:after="0" w:line="240" w:lineRule="auto"/>
              <w:jc w:val="center"/>
              <w:rPr>
                <w:rFonts w:ascii="Arial" w:eastAsia="Microsoft JhengHei Light" w:hAnsi="Arial" w:cs="Arial"/>
                <w:color w:val="000000"/>
                <w:sz w:val="18"/>
                <w:lang w:val="en-US" w:eastAsia="zh-CN"/>
              </w:rPr>
            </w:pPr>
            <w:r w:rsidRPr="00DE27D3">
              <w:rPr>
                <w:rFonts w:ascii="Arial" w:eastAsia="Microsoft JhengHei Light" w:hAnsi="Arial" w:cs="Arial"/>
                <w:color w:val="000000"/>
                <w:sz w:val="18"/>
                <w:lang w:val="en-US" w:eastAsia="zh-CN"/>
              </w:rPr>
              <w:t>15th June-30th June</w:t>
            </w:r>
          </w:p>
        </w:tc>
      </w:tr>
      <w:tr w:rsidR="00B25FAE" w:rsidRPr="00DE27D3" w:rsidTr="00943FC1">
        <w:trPr>
          <w:trHeight w:val="1373"/>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A47" w:rsidRPr="00DE27D3" w:rsidRDefault="00F17A47" w:rsidP="00943FC1">
            <w:pPr>
              <w:spacing w:after="0" w:line="240" w:lineRule="auto"/>
              <w:jc w:val="center"/>
              <w:rPr>
                <w:rFonts w:ascii="Arial" w:eastAsia="Microsoft JhengHei Light" w:hAnsi="Arial" w:cs="Arial"/>
                <w:color w:val="000000"/>
                <w:sz w:val="18"/>
                <w:lang w:val="en-US" w:eastAsia="zh-CN"/>
              </w:rPr>
            </w:pPr>
            <w:r w:rsidRPr="00DE27D3">
              <w:rPr>
                <w:rFonts w:ascii="Arial" w:eastAsia="Microsoft JhengHei Light" w:hAnsi="Arial" w:cs="Arial"/>
                <w:color w:val="000000"/>
                <w:sz w:val="18"/>
                <w:lang w:val="en-US" w:eastAsia="zh-CN"/>
              </w:rPr>
              <w:t xml:space="preserve">Publishing </w:t>
            </w:r>
            <w:proofErr w:type="spellStart"/>
            <w:r w:rsidRPr="00DE27D3">
              <w:rPr>
                <w:rFonts w:ascii="Arial" w:eastAsia="Microsoft JhengHei Light" w:hAnsi="Arial" w:cs="Arial"/>
                <w:color w:val="000000"/>
                <w:sz w:val="18"/>
                <w:lang w:val="en-US" w:eastAsia="zh-CN"/>
              </w:rPr>
              <w:t>ToR</w:t>
            </w:r>
            <w:proofErr w:type="spellEnd"/>
          </w:p>
        </w:tc>
        <w:tc>
          <w:tcPr>
            <w:tcW w:w="1042" w:type="pct"/>
            <w:tcBorders>
              <w:top w:val="nil"/>
              <w:left w:val="nil"/>
              <w:bottom w:val="single" w:sz="4" w:space="0" w:color="auto"/>
              <w:right w:val="single" w:sz="4" w:space="0" w:color="auto"/>
            </w:tcBorders>
            <w:shd w:val="clear" w:color="auto" w:fill="auto"/>
            <w:vAlign w:val="center"/>
            <w:hideMark/>
          </w:tcPr>
          <w:p w:rsidR="00F17A47" w:rsidRPr="00DE27D3" w:rsidRDefault="00F17A47" w:rsidP="00943FC1">
            <w:pPr>
              <w:spacing w:after="0" w:line="240" w:lineRule="auto"/>
              <w:jc w:val="center"/>
              <w:rPr>
                <w:rFonts w:ascii="Arial" w:eastAsia="Microsoft JhengHei Light" w:hAnsi="Arial" w:cs="Arial"/>
                <w:color w:val="000000"/>
                <w:sz w:val="18"/>
                <w:lang w:val="en-US" w:eastAsia="zh-CN"/>
              </w:rPr>
            </w:pPr>
            <w:r w:rsidRPr="00DE27D3">
              <w:rPr>
                <w:rFonts w:ascii="Arial" w:eastAsia="Microsoft JhengHei Light" w:hAnsi="Arial" w:cs="Arial"/>
                <w:color w:val="000000"/>
                <w:sz w:val="18"/>
                <w:lang w:val="en-US" w:eastAsia="zh-CN"/>
              </w:rPr>
              <w:t>Consultant Selecting</w:t>
            </w:r>
            <w:r w:rsidR="00AC6316" w:rsidRPr="00DE27D3">
              <w:rPr>
                <w:rFonts w:ascii="Arial" w:eastAsia="Microsoft JhengHei Light" w:hAnsi="Arial" w:cs="Arial"/>
                <w:color w:val="000000"/>
                <w:sz w:val="18"/>
                <w:lang w:val="en-US" w:eastAsia="zh-CN"/>
              </w:rPr>
              <w:t>, budgeting</w:t>
            </w:r>
            <w:r w:rsidRPr="00DE27D3">
              <w:rPr>
                <w:rFonts w:ascii="Arial" w:eastAsia="Microsoft JhengHei Light" w:hAnsi="Arial" w:cs="Arial"/>
                <w:color w:val="000000"/>
                <w:sz w:val="18"/>
                <w:lang w:val="en-US" w:eastAsia="zh-CN"/>
              </w:rPr>
              <w:t xml:space="preserve"> and contracting</w:t>
            </w:r>
          </w:p>
        </w:tc>
        <w:tc>
          <w:tcPr>
            <w:tcW w:w="923" w:type="pct"/>
            <w:tcBorders>
              <w:top w:val="nil"/>
              <w:left w:val="nil"/>
              <w:bottom w:val="single" w:sz="4" w:space="0" w:color="auto"/>
              <w:right w:val="single" w:sz="4" w:space="0" w:color="auto"/>
            </w:tcBorders>
            <w:shd w:val="clear" w:color="auto" w:fill="auto"/>
            <w:vAlign w:val="center"/>
            <w:hideMark/>
          </w:tcPr>
          <w:p w:rsidR="00F17A47" w:rsidRPr="00DE27D3" w:rsidRDefault="00F17A47" w:rsidP="00943FC1">
            <w:pPr>
              <w:spacing w:after="0" w:line="240" w:lineRule="auto"/>
              <w:jc w:val="center"/>
              <w:rPr>
                <w:rFonts w:ascii="Arial" w:eastAsia="Microsoft JhengHei Light" w:hAnsi="Arial" w:cs="Arial"/>
                <w:color w:val="000000"/>
                <w:sz w:val="18"/>
                <w:lang w:val="en-US" w:eastAsia="zh-CN"/>
              </w:rPr>
            </w:pPr>
            <w:r w:rsidRPr="00DE27D3">
              <w:rPr>
                <w:rFonts w:ascii="Arial" w:eastAsia="Microsoft JhengHei Light" w:hAnsi="Arial" w:cs="Arial"/>
                <w:color w:val="000000"/>
                <w:sz w:val="18"/>
                <w:lang w:eastAsia="zh-CN"/>
              </w:rPr>
              <w:t>Pre-survey preparation</w:t>
            </w:r>
          </w:p>
        </w:tc>
        <w:tc>
          <w:tcPr>
            <w:tcW w:w="938" w:type="pct"/>
            <w:tcBorders>
              <w:top w:val="nil"/>
              <w:left w:val="nil"/>
              <w:bottom w:val="single" w:sz="4" w:space="0" w:color="auto"/>
              <w:right w:val="single" w:sz="4" w:space="0" w:color="auto"/>
            </w:tcBorders>
            <w:shd w:val="clear" w:color="auto" w:fill="auto"/>
            <w:vAlign w:val="center"/>
            <w:hideMark/>
          </w:tcPr>
          <w:p w:rsidR="00F17A47" w:rsidRPr="00DE27D3" w:rsidRDefault="00F17A47" w:rsidP="00943FC1">
            <w:pPr>
              <w:spacing w:after="0" w:line="240" w:lineRule="auto"/>
              <w:jc w:val="center"/>
              <w:rPr>
                <w:rFonts w:ascii="Arial" w:eastAsia="Microsoft JhengHei Light" w:hAnsi="Arial" w:cs="Arial"/>
                <w:color w:val="000000"/>
                <w:sz w:val="18"/>
                <w:lang w:val="en-US" w:eastAsia="zh-CN"/>
              </w:rPr>
            </w:pPr>
            <w:r w:rsidRPr="00DE27D3">
              <w:rPr>
                <w:rFonts w:ascii="Arial" w:eastAsia="Microsoft JhengHei Light" w:hAnsi="Arial" w:cs="Arial"/>
                <w:color w:val="000000"/>
                <w:sz w:val="18"/>
                <w:lang w:eastAsia="zh-CN"/>
              </w:rPr>
              <w:t>Planning the survey and Develop DHIS2 APP</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A47" w:rsidRPr="00DE27D3" w:rsidRDefault="00F17A47" w:rsidP="00943FC1">
            <w:pPr>
              <w:spacing w:after="0" w:line="240" w:lineRule="auto"/>
              <w:jc w:val="center"/>
              <w:rPr>
                <w:rFonts w:ascii="Arial" w:eastAsia="Microsoft JhengHei Light" w:hAnsi="Arial" w:cs="Arial"/>
                <w:color w:val="000000"/>
                <w:sz w:val="18"/>
                <w:lang w:val="en-US" w:eastAsia="zh-CN"/>
              </w:rPr>
            </w:pPr>
            <w:r w:rsidRPr="00DE27D3">
              <w:rPr>
                <w:rFonts w:ascii="Arial" w:eastAsia="Microsoft JhengHei Light" w:hAnsi="Arial" w:cs="Arial"/>
                <w:color w:val="000000"/>
                <w:sz w:val="18"/>
                <w:lang w:eastAsia="zh-CN"/>
              </w:rPr>
              <w:t>Training field supervisors &amp; data collectors and data entry personnel</w:t>
            </w:r>
          </w:p>
        </w:tc>
      </w:tr>
      <w:tr w:rsidR="00AC6316" w:rsidRPr="00DE27D3" w:rsidTr="00BC116B">
        <w:trPr>
          <w:trHeight w:val="981"/>
        </w:trPr>
        <w:tc>
          <w:tcPr>
            <w:tcW w:w="93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17A47" w:rsidRPr="00DE27D3" w:rsidRDefault="00F17A47" w:rsidP="00F17A47">
            <w:pPr>
              <w:spacing w:after="0" w:line="240" w:lineRule="auto"/>
              <w:jc w:val="center"/>
              <w:rPr>
                <w:rFonts w:ascii="Arial" w:eastAsia="Microsoft JhengHei Light" w:hAnsi="Arial" w:cs="Arial"/>
                <w:color w:val="000000"/>
                <w:sz w:val="18"/>
                <w:lang w:val="en-US" w:eastAsia="zh-CN"/>
              </w:rPr>
            </w:pPr>
            <w:r w:rsidRPr="00DE27D3">
              <w:rPr>
                <w:rFonts w:ascii="Arial" w:eastAsia="Microsoft JhengHei Light" w:hAnsi="Arial" w:cs="Arial"/>
                <w:color w:val="000000"/>
                <w:sz w:val="18"/>
                <w:lang w:val="en-US" w:eastAsia="zh-CN"/>
              </w:rPr>
              <w:t xml:space="preserve">1st </w:t>
            </w:r>
            <w:r w:rsidR="00BC116B" w:rsidRPr="00DE27D3">
              <w:rPr>
                <w:rFonts w:ascii="Arial" w:eastAsia="Microsoft JhengHei Light" w:hAnsi="Arial" w:cs="Arial"/>
                <w:color w:val="000000"/>
                <w:sz w:val="18"/>
                <w:lang w:val="en-US" w:eastAsia="zh-CN"/>
              </w:rPr>
              <w:t>July</w:t>
            </w:r>
            <w:r w:rsidRPr="00DE27D3">
              <w:rPr>
                <w:rFonts w:ascii="Arial" w:eastAsia="Microsoft JhengHei Light" w:hAnsi="Arial" w:cs="Arial"/>
                <w:color w:val="000000"/>
                <w:sz w:val="18"/>
                <w:lang w:val="en-US" w:eastAsia="zh-CN"/>
              </w:rPr>
              <w:t xml:space="preserve"> - 7th July</w:t>
            </w:r>
          </w:p>
        </w:tc>
        <w:tc>
          <w:tcPr>
            <w:tcW w:w="1042"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17A47" w:rsidRPr="00DE27D3" w:rsidRDefault="00F17A47" w:rsidP="00F17A47">
            <w:pPr>
              <w:spacing w:after="0" w:line="240" w:lineRule="auto"/>
              <w:jc w:val="center"/>
              <w:rPr>
                <w:rFonts w:ascii="Arial" w:eastAsia="Microsoft JhengHei Light" w:hAnsi="Arial" w:cs="Arial"/>
                <w:color w:val="000000"/>
                <w:sz w:val="18"/>
                <w:lang w:val="en-US" w:eastAsia="zh-CN"/>
              </w:rPr>
            </w:pPr>
            <w:r w:rsidRPr="00DE27D3">
              <w:rPr>
                <w:rFonts w:ascii="Arial" w:eastAsia="Microsoft JhengHei Light" w:hAnsi="Arial" w:cs="Arial"/>
                <w:color w:val="000000"/>
                <w:sz w:val="18"/>
                <w:lang w:val="en-US" w:eastAsia="zh-CN"/>
              </w:rPr>
              <w:t>8th July - 31 Aug</w:t>
            </w:r>
          </w:p>
        </w:tc>
        <w:tc>
          <w:tcPr>
            <w:tcW w:w="923"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17A47" w:rsidRPr="00DE27D3" w:rsidRDefault="00F17A47" w:rsidP="00F17A47">
            <w:pPr>
              <w:spacing w:after="0" w:line="240" w:lineRule="auto"/>
              <w:jc w:val="center"/>
              <w:rPr>
                <w:rFonts w:ascii="Arial" w:eastAsia="Microsoft JhengHei Light" w:hAnsi="Arial" w:cs="Arial"/>
                <w:color w:val="000000"/>
                <w:sz w:val="18"/>
                <w:lang w:val="en-US" w:eastAsia="zh-CN"/>
              </w:rPr>
            </w:pPr>
            <w:r w:rsidRPr="00DE27D3">
              <w:rPr>
                <w:rFonts w:ascii="Arial" w:eastAsia="Microsoft JhengHei Light" w:hAnsi="Arial" w:cs="Arial"/>
                <w:color w:val="000000"/>
                <w:sz w:val="18"/>
                <w:lang w:val="en-US" w:eastAsia="zh-CN"/>
              </w:rPr>
              <w:t>1st Sept-15th Sept</w:t>
            </w:r>
          </w:p>
        </w:tc>
        <w:tc>
          <w:tcPr>
            <w:tcW w:w="93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17A47" w:rsidRPr="00DE27D3" w:rsidRDefault="00F17A47" w:rsidP="00F17A47">
            <w:pPr>
              <w:spacing w:after="0" w:line="240" w:lineRule="auto"/>
              <w:jc w:val="center"/>
              <w:rPr>
                <w:rFonts w:ascii="Arial" w:eastAsia="Microsoft JhengHei Light" w:hAnsi="Arial" w:cs="Arial"/>
                <w:color w:val="000000"/>
                <w:sz w:val="18"/>
                <w:lang w:val="en-US" w:eastAsia="zh-CN"/>
              </w:rPr>
            </w:pPr>
            <w:r w:rsidRPr="00DE27D3">
              <w:rPr>
                <w:rFonts w:ascii="Arial" w:eastAsia="Microsoft JhengHei Light" w:hAnsi="Arial" w:cs="Arial"/>
                <w:color w:val="000000"/>
                <w:sz w:val="18"/>
                <w:lang w:val="en-US" w:eastAsia="zh-CN"/>
              </w:rPr>
              <w:t>16th Sept-15th Oct</w:t>
            </w:r>
          </w:p>
        </w:tc>
        <w:tc>
          <w:tcPr>
            <w:tcW w:w="1162"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F17A47" w:rsidRPr="00DE27D3" w:rsidRDefault="00F17A47" w:rsidP="00F17A47">
            <w:pPr>
              <w:spacing w:after="0" w:line="240" w:lineRule="auto"/>
              <w:jc w:val="center"/>
              <w:rPr>
                <w:rFonts w:ascii="Arial" w:eastAsia="Microsoft JhengHei Light" w:hAnsi="Arial" w:cs="Arial"/>
                <w:color w:val="000000"/>
                <w:sz w:val="18"/>
                <w:lang w:val="en-US" w:eastAsia="zh-CN"/>
              </w:rPr>
            </w:pPr>
            <w:r w:rsidRPr="00DE27D3">
              <w:rPr>
                <w:rFonts w:ascii="Arial" w:eastAsia="Microsoft JhengHei Light" w:hAnsi="Arial" w:cs="Arial"/>
                <w:color w:val="000000"/>
                <w:sz w:val="18"/>
                <w:lang w:val="en-US" w:eastAsia="zh-CN"/>
              </w:rPr>
              <w:t>15th Oct</w:t>
            </w:r>
          </w:p>
        </w:tc>
      </w:tr>
      <w:tr w:rsidR="00B25FAE" w:rsidRPr="00DE27D3" w:rsidTr="00B25FAE">
        <w:trPr>
          <w:trHeight w:val="1160"/>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A47" w:rsidRPr="00DE27D3" w:rsidRDefault="00F17A47" w:rsidP="00F17A47">
            <w:pPr>
              <w:spacing w:after="0" w:line="240" w:lineRule="auto"/>
              <w:jc w:val="center"/>
              <w:rPr>
                <w:rFonts w:ascii="Arial" w:eastAsia="Microsoft JhengHei Light" w:hAnsi="Arial" w:cs="Arial"/>
                <w:color w:val="000000"/>
                <w:sz w:val="18"/>
                <w:lang w:val="en-US" w:eastAsia="zh-CN"/>
              </w:rPr>
            </w:pPr>
            <w:r w:rsidRPr="00DE27D3">
              <w:rPr>
                <w:rFonts w:ascii="Arial" w:eastAsia="Microsoft JhengHei Light" w:hAnsi="Arial" w:cs="Arial"/>
                <w:color w:val="000000"/>
                <w:sz w:val="18"/>
                <w:lang w:eastAsia="zh-CN"/>
              </w:rPr>
              <w:t>Preparing for data Collection in the field</w:t>
            </w:r>
          </w:p>
        </w:tc>
        <w:tc>
          <w:tcPr>
            <w:tcW w:w="10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A47" w:rsidRPr="00DE27D3" w:rsidRDefault="00F17A47" w:rsidP="00F17A47">
            <w:pPr>
              <w:spacing w:after="0" w:line="240" w:lineRule="auto"/>
              <w:jc w:val="center"/>
              <w:rPr>
                <w:rFonts w:ascii="Arial" w:eastAsia="Microsoft JhengHei Light" w:hAnsi="Arial" w:cs="Arial"/>
                <w:color w:val="000000"/>
                <w:sz w:val="18"/>
                <w:lang w:val="en-US" w:eastAsia="zh-CN"/>
              </w:rPr>
            </w:pPr>
            <w:r w:rsidRPr="00DE27D3">
              <w:rPr>
                <w:rFonts w:ascii="Arial" w:eastAsia="Microsoft JhengHei Light" w:hAnsi="Arial" w:cs="Arial"/>
                <w:color w:val="000000"/>
                <w:sz w:val="18"/>
                <w:lang w:eastAsia="zh-CN"/>
              </w:rPr>
              <w:t>Data collection in the field</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A47" w:rsidRPr="00DE27D3" w:rsidRDefault="00F17A47" w:rsidP="00F17A47">
            <w:pPr>
              <w:spacing w:after="0" w:line="240" w:lineRule="auto"/>
              <w:jc w:val="center"/>
              <w:rPr>
                <w:rFonts w:ascii="Arial" w:eastAsia="Microsoft JhengHei Light" w:hAnsi="Arial" w:cs="Arial"/>
                <w:color w:val="000000"/>
                <w:sz w:val="18"/>
                <w:lang w:val="en-US" w:eastAsia="zh-CN"/>
              </w:rPr>
            </w:pPr>
            <w:r w:rsidRPr="00DE27D3">
              <w:rPr>
                <w:rFonts w:ascii="Arial" w:eastAsia="Microsoft JhengHei Light" w:hAnsi="Arial" w:cs="Arial"/>
                <w:color w:val="000000"/>
                <w:sz w:val="18"/>
                <w:lang w:eastAsia="zh-CN"/>
              </w:rPr>
              <w:t>Data entry and processing</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A47" w:rsidRPr="00DE27D3" w:rsidRDefault="00F17A47" w:rsidP="00F17A47">
            <w:pPr>
              <w:spacing w:after="0" w:line="240" w:lineRule="auto"/>
              <w:jc w:val="center"/>
              <w:rPr>
                <w:rFonts w:ascii="Arial" w:eastAsia="Microsoft JhengHei Light" w:hAnsi="Arial" w:cs="Arial"/>
                <w:color w:val="000000"/>
                <w:sz w:val="18"/>
                <w:lang w:val="en-US" w:eastAsia="zh-CN"/>
              </w:rPr>
            </w:pPr>
            <w:r w:rsidRPr="00DE27D3">
              <w:rPr>
                <w:rFonts w:ascii="Arial" w:eastAsia="Microsoft JhengHei Light" w:hAnsi="Arial" w:cs="Arial"/>
                <w:color w:val="000000"/>
                <w:sz w:val="18"/>
                <w:lang w:eastAsia="zh-CN"/>
              </w:rPr>
              <w:t>Data analysis and preparing report</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A47" w:rsidRPr="00DE27D3" w:rsidRDefault="00F17A47" w:rsidP="00F17A47">
            <w:pPr>
              <w:spacing w:after="0" w:line="240" w:lineRule="auto"/>
              <w:jc w:val="center"/>
              <w:rPr>
                <w:rFonts w:ascii="Arial" w:eastAsia="Microsoft JhengHei Light" w:hAnsi="Arial" w:cs="Arial"/>
                <w:color w:val="000000"/>
                <w:sz w:val="18"/>
                <w:lang w:val="en-US" w:eastAsia="zh-CN"/>
              </w:rPr>
            </w:pPr>
            <w:r w:rsidRPr="00DE27D3">
              <w:rPr>
                <w:rFonts w:ascii="Arial" w:eastAsia="Microsoft JhengHei Light" w:hAnsi="Arial" w:cs="Arial"/>
                <w:color w:val="000000"/>
                <w:sz w:val="18"/>
                <w:lang w:eastAsia="zh-CN"/>
              </w:rPr>
              <w:t>Data archiving</w:t>
            </w:r>
          </w:p>
        </w:tc>
      </w:tr>
    </w:tbl>
    <w:p w:rsidR="00471E86" w:rsidRPr="00DE27D3" w:rsidRDefault="00471E86" w:rsidP="00CE44FA">
      <w:pPr>
        <w:rPr>
          <w:rFonts w:ascii="Arial" w:hAnsi="Arial" w:cs="Arial"/>
          <w:lang w:eastAsia="zh-CN"/>
        </w:rPr>
      </w:pPr>
    </w:p>
    <w:p w:rsidR="000D625B" w:rsidRPr="00DE27D3" w:rsidRDefault="000D625B" w:rsidP="00B3462D">
      <w:pPr>
        <w:widowControl w:val="0"/>
        <w:spacing w:after="0" w:line="240" w:lineRule="auto"/>
        <w:jc w:val="both"/>
        <w:rPr>
          <w:rFonts w:ascii="Arial" w:hAnsi="Arial" w:cs="Arial"/>
          <w:b/>
          <w:szCs w:val="21"/>
          <w:u w:val="single"/>
        </w:rPr>
      </w:pPr>
      <w:r w:rsidRPr="00DE27D3">
        <w:rPr>
          <w:rFonts w:ascii="Arial" w:hAnsi="Arial" w:cs="Arial"/>
          <w:b/>
          <w:szCs w:val="21"/>
          <w:u w:val="single"/>
        </w:rPr>
        <w:t>Logistics Arrangements</w:t>
      </w:r>
    </w:p>
    <w:p w:rsidR="000D625B" w:rsidRPr="00DE27D3" w:rsidRDefault="000D625B" w:rsidP="00BE6D41">
      <w:pPr>
        <w:tabs>
          <w:tab w:val="left" w:pos="567"/>
        </w:tabs>
        <w:rPr>
          <w:rFonts w:ascii="Arial" w:hAnsi="Arial" w:cs="Arial"/>
          <w:lang w:eastAsia="zh-CN"/>
        </w:rPr>
      </w:pPr>
      <w:r w:rsidRPr="00DE27D3">
        <w:rPr>
          <w:rFonts w:ascii="Arial" w:hAnsi="Arial" w:cs="Arial"/>
          <w:lang w:eastAsia="zh-CN"/>
        </w:rPr>
        <w:t>HPA East Asia Programme Office will discuss with the selected consultant to develop the itinerary. Please note that visitors must be in compliance with Health Poverty Action’s Child Protection Policy.</w:t>
      </w:r>
    </w:p>
    <w:p w:rsidR="00B3462D" w:rsidRPr="00DE27D3" w:rsidRDefault="00B3462D" w:rsidP="00F801B0">
      <w:pPr>
        <w:widowControl w:val="0"/>
        <w:spacing w:after="0" w:line="240" w:lineRule="auto"/>
        <w:jc w:val="both"/>
        <w:rPr>
          <w:rFonts w:ascii="Arial" w:hAnsi="Arial" w:cs="Arial"/>
          <w:b/>
          <w:szCs w:val="21"/>
          <w:u w:val="single"/>
        </w:rPr>
      </w:pPr>
      <w:r w:rsidRPr="00DE27D3">
        <w:rPr>
          <w:rFonts w:ascii="Arial" w:hAnsi="Arial" w:cs="Arial"/>
          <w:b/>
          <w:szCs w:val="21"/>
          <w:u w:val="single"/>
        </w:rPr>
        <w:t>Background Reading and Submission of proposals</w:t>
      </w:r>
    </w:p>
    <w:p w:rsidR="00B3462D" w:rsidRPr="00DE27D3" w:rsidRDefault="00B3462D" w:rsidP="00B3462D">
      <w:pPr>
        <w:rPr>
          <w:rFonts w:ascii="Arial" w:hAnsi="Arial" w:cs="Arial"/>
          <w:lang w:eastAsia="zh-CN"/>
        </w:rPr>
      </w:pPr>
      <w:r w:rsidRPr="00DE27D3">
        <w:rPr>
          <w:rFonts w:ascii="Arial" w:hAnsi="Arial" w:cs="Arial"/>
          <w:lang w:eastAsia="zh-CN"/>
        </w:rPr>
        <w:lastRenderedPageBreak/>
        <w:t>Due to the sensitivity of the context, HPA will send the related</w:t>
      </w:r>
      <w:r w:rsidR="00EF4B7C" w:rsidRPr="00DE27D3">
        <w:rPr>
          <w:rFonts w:ascii="Arial" w:hAnsi="Arial" w:cs="Arial"/>
          <w:lang w:eastAsia="zh-CN"/>
        </w:rPr>
        <w:t xml:space="preserve"> </w:t>
      </w:r>
      <w:r w:rsidRPr="00DE27D3">
        <w:rPr>
          <w:rFonts w:ascii="Arial" w:hAnsi="Arial" w:cs="Arial"/>
          <w:lang w:eastAsia="zh-CN"/>
        </w:rPr>
        <w:t>documents</w:t>
      </w:r>
      <w:r w:rsidR="00EF4B7C" w:rsidRPr="00DE27D3">
        <w:rPr>
          <w:rFonts w:ascii="Arial" w:hAnsi="Arial" w:cs="Arial"/>
          <w:lang w:eastAsia="zh-CN"/>
        </w:rPr>
        <w:t xml:space="preserve"> and</w:t>
      </w:r>
      <w:r w:rsidRPr="00DE27D3">
        <w:rPr>
          <w:rFonts w:ascii="Arial" w:hAnsi="Arial" w:cs="Arial"/>
          <w:lang w:eastAsia="zh-CN"/>
        </w:rPr>
        <w:t xml:space="preserve"> data by email after receiving the EOI letter. Please write a simple EOI letter to follow email address to show your interest with your CV attached</w:t>
      </w:r>
      <w:r w:rsidR="00A510E3" w:rsidRPr="00DE27D3">
        <w:rPr>
          <w:rFonts w:ascii="Arial" w:hAnsi="Arial" w:cs="Arial"/>
          <w:lang w:eastAsia="zh-CN"/>
        </w:rPr>
        <w:t>, especially the past experience related to Health Facility Assessment</w:t>
      </w:r>
      <w:r w:rsidRPr="00DE27D3">
        <w:rPr>
          <w:rFonts w:ascii="Arial" w:hAnsi="Arial" w:cs="Arial"/>
          <w:lang w:eastAsia="zh-CN"/>
        </w:rPr>
        <w:t xml:space="preserve"> (if it is a review team, please only send us the CV of the team leaders only): </w:t>
      </w:r>
      <w:r w:rsidR="00125B99" w:rsidRPr="00DE27D3">
        <w:rPr>
          <w:rFonts w:ascii="Arial" w:hAnsi="Arial" w:cs="Arial"/>
          <w:lang w:eastAsia="zh-CN"/>
        </w:rPr>
        <w:t xml:space="preserve">Mr. Cai Tao, Email: </w:t>
      </w:r>
      <w:r w:rsidRPr="00DE27D3">
        <w:rPr>
          <w:rFonts w:ascii="Arial" w:hAnsi="Arial" w:cs="Arial"/>
          <w:lang w:eastAsia="zh-CN"/>
        </w:rPr>
        <w:t>caitao.km@qq.com.</w:t>
      </w:r>
    </w:p>
    <w:p w:rsidR="00B3462D" w:rsidRPr="00DE27D3" w:rsidRDefault="00B3462D" w:rsidP="00304783">
      <w:pPr>
        <w:rPr>
          <w:rFonts w:ascii="Arial" w:hAnsi="Arial" w:cs="Arial"/>
          <w:lang w:eastAsia="zh-CN"/>
        </w:rPr>
      </w:pPr>
      <w:r w:rsidRPr="00DE27D3">
        <w:rPr>
          <w:rFonts w:ascii="Arial" w:hAnsi="Arial" w:cs="Arial"/>
          <w:lang w:eastAsia="zh-CN"/>
        </w:rPr>
        <w:t xml:space="preserve">After receiving the documents, the </w:t>
      </w:r>
      <w:r w:rsidR="00275335" w:rsidRPr="00DE27D3">
        <w:rPr>
          <w:rFonts w:ascii="Arial" w:hAnsi="Arial" w:cs="Arial"/>
          <w:lang w:eastAsia="zh-CN"/>
        </w:rPr>
        <w:t xml:space="preserve">consultant </w:t>
      </w:r>
      <w:r w:rsidRPr="00DE27D3">
        <w:rPr>
          <w:rFonts w:ascii="Arial" w:hAnsi="Arial" w:cs="Arial"/>
          <w:lang w:eastAsia="zh-CN"/>
        </w:rPr>
        <w:t>needs to develop a proposal and sent t</w:t>
      </w:r>
      <w:r w:rsidR="00D46602" w:rsidRPr="00DE27D3">
        <w:rPr>
          <w:rFonts w:ascii="Arial" w:hAnsi="Arial" w:cs="Arial"/>
          <w:lang w:eastAsia="zh-CN"/>
        </w:rPr>
        <w:t>o the email addresses below by April 1</w:t>
      </w:r>
      <w:r w:rsidR="00D46602" w:rsidRPr="00DE27D3">
        <w:rPr>
          <w:rFonts w:ascii="Arial" w:hAnsi="Arial" w:cs="Arial"/>
          <w:vertAlign w:val="superscript"/>
          <w:lang w:eastAsia="zh-CN"/>
        </w:rPr>
        <w:t>st</w:t>
      </w:r>
      <w:r w:rsidR="00D46602" w:rsidRPr="00DE27D3">
        <w:rPr>
          <w:rFonts w:ascii="Arial" w:hAnsi="Arial" w:cs="Arial"/>
          <w:lang w:eastAsia="zh-CN"/>
        </w:rPr>
        <w:t>, 2017</w:t>
      </w:r>
      <w:r w:rsidRPr="00DE27D3">
        <w:rPr>
          <w:rFonts w:ascii="Arial" w:hAnsi="Arial" w:cs="Arial"/>
          <w:lang w:eastAsia="zh-CN"/>
        </w:rPr>
        <w:t>. Any proposal received after close of business on this date will not be considered. The proposal should including following aspects.</w:t>
      </w:r>
    </w:p>
    <w:p w:rsidR="00B3462D" w:rsidRPr="00DE27D3" w:rsidRDefault="00B3462D" w:rsidP="00B3462D">
      <w:pPr>
        <w:autoSpaceDE w:val="0"/>
        <w:autoSpaceDN w:val="0"/>
        <w:adjustRightInd w:val="0"/>
        <w:rPr>
          <w:rFonts w:ascii="Arial" w:hAnsi="Arial" w:cs="Arial"/>
          <w:b/>
          <w:bCs/>
          <w:sz w:val="24"/>
          <w:lang w:val="en-US"/>
        </w:rPr>
      </w:pPr>
      <w:r w:rsidRPr="00DE27D3">
        <w:rPr>
          <w:rFonts w:ascii="Arial" w:hAnsi="Arial" w:cs="Arial"/>
          <w:b/>
          <w:bCs/>
          <w:sz w:val="24"/>
          <w:lang w:val="en-US"/>
        </w:rPr>
        <w:t>Technical</w:t>
      </w:r>
    </w:p>
    <w:p w:rsidR="00B3462D" w:rsidRPr="00DE27D3" w:rsidRDefault="00B3462D" w:rsidP="00B82B65">
      <w:pPr>
        <w:rPr>
          <w:rFonts w:ascii="Arial" w:hAnsi="Arial" w:cs="Arial"/>
          <w:lang w:eastAsia="zh-CN"/>
        </w:rPr>
      </w:pPr>
      <w:r w:rsidRPr="00DE27D3">
        <w:rPr>
          <w:rFonts w:ascii="Arial" w:hAnsi="Arial" w:cs="Arial"/>
          <w:lang w:eastAsia="zh-CN"/>
        </w:rPr>
        <w:t>- Understanding and interpretation of the TOR</w:t>
      </w:r>
    </w:p>
    <w:p w:rsidR="00B3462D" w:rsidRPr="00DE27D3" w:rsidRDefault="00B3462D" w:rsidP="00B82B65">
      <w:pPr>
        <w:rPr>
          <w:rFonts w:ascii="Arial" w:hAnsi="Arial" w:cs="Arial"/>
          <w:lang w:eastAsia="zh-CN"/>
        </w:rPr>
      </w:pPr>
      <w:r w:rsidRPr="00DE27D3">
        <w:rPr>
          <w:rFonts w:ascii="Arial" w:hAnsi="Arial" w:cs="Arial"/>
          <w:lang w:eastAsia="zh-CN"/>
        </w:rPr>
        <w:t>- Design of the review with clear Methodology to be used in undertaking the review</w:t>
      </w:r>
    </w:p>
    <w:p w:rsidR="00B3462D" w:rsidRPr="00DE27D3" w:rsidRDefault="00B3462D" w:rsidP="00B82B65">
      <w:pPr>
        <w:rPr>
          <w:rFonts w:ascii="Arial" w:hAnsi="Arial" w:cs="Arial"/>
          <w:lang w:eastAsia="zh-CN"/>
        </w:rPr>
      </w:pPr>
      <w:r w:rsidRPr="00DE27D3">
        <w:rPr>
          <w:rFonts w:ascii="Arial" w:hAnsi="Arial" w:cs="Arial"/>
          <w:lang w:eastAsia="zh-CN"/>
        </w:rPr>
        <w:t>- Tools will be used</w:t>
      </w:r>
    </w:p>
    <w:p w:rsidR="00B3462D" w:rsidRPr="00DE27D3" w:rsidRDefault="00B3462D" w:rsidP="00B82B65">
      <w:pPr>
        <w:rPr>
          <w:rFonts w:ascii="Arial" w:hAnsi="Arial" w:cs="Arial"/>
          <w:lang w:eastAsia="zh-CN"/>
        </w:rPr>
      </w:pPr>
      <w:r w:rsidRPr="00DE27D3">
        <w:rPr>
          <w:rFonts w:ascii="Arial" w:hAnsi="Arial" w:cs="Arial"/>
          <w:lang w:eastAsia="zh-CN"/>
        </w:rPr>
        <w:t>-Time and activity schedule</w:t>
      </w:r>
    </w:p>
    <w:p w:rsidR="00B3462D" w:rsidRPr="00DE27D3" w:rsidRDefault="00B3462D" w:rsidP="00B3462D">
      <w:pPr>
        <w:autoSpaceDE w:val="0"/>
        <w:autoSpaceDN w:val="0"/>
        <w:adjustRightInd w:val="0"/>
        <w:rPr>
          <w:rFonts w:ascii="Arial" w:hAnsi="Arial" w:cs="Arial"/>
          <w:b/>
          <w:bCs/>
          <w:sz w:val="24"/>
          <w:lang w:val="en-US"/>
        </w:rPr>
      </w:pPr>
      <w:r w:rsidRPr="00DE27D3">
        <w:rPr>
          <w:rFonts w:ascii="Arial" w:hAnsi="Arial" w:cs="Arial"/>
          <w:b/>
          <w:bCs/>
          <w:sz w:val="24"/>
          <w:lang w:val="en-US"/>
        </w:rPr>
        <w:t xml:space="preserve">Financial </w:t>
      </w:r>
    </w:p>
    <w:p w:rsidR="00B3462D" w:rsidRPr="00DE27D3" w:rsidRDefault="00B3462D" w:rsidP="00B3462D">
      <w:pPr>
        <w:autoSpaceDE w:val="0"/>
        <w:autoSpaceDN w:val="0"/>
        <w:adjustRightInd w:val="0"/>
        <w:rPr>
          <w:rFonts w:ascii="Arial" w:hAnsi="Arial" w:cs="Arial"/>
          <w:lang w:eastAsia="zh-CN"/>
        </w:rPr>
      </w:pPr>
      <w:r w:rsidRPr="00DE27D3">
        <w:rPr>
          <w:rFonts w:ascii="Arial" w:hAnsi="Arial" w:cs="Arial"/>
          <w:lang w:eastAsia="zh-CN"/>
        </w:rPr>
        <w:t>- Consultant’s daily rate in US dollar or Chinese Yuan</w:t>
      </w:r>
    </w:p>
    <w:p w:rsidR="00B3462D" w:rsidRPr="00DE27D3" w:rsidRDefault="00B3462D" w:rsidP="00B3462D">
      <w:pPr>
        <w:autoSpaceDE w:val="0"/>
        <w:autoSpaceDN w:val="0"/>
        <w:adjustRightInd w:val="0"/>
        <w:rPr>
          <w:rFonts w:ascii="Arial" w:hAnsi="Arial" w:cs="Arial"/>
          <w:lang w:eastAsia="zh-CN"/>
        </w:rPr>
      </w:pPr>
      <w:r w:rsidRPr="00DE27D3">
        <w:rPr>
          <w:rFonts w:ascii="Arial" w:hAnsi="Arial" w:cs="Arial"/>
          <w:lang w:eastAsia="zh-CN"/>
        </w:rPr>
        <w:t>- Activity costs</w:t>
      </w:r>
    </w:p>
    <w:p w:rsidR="00B3462D" w:rsidRPr="00DE27D3" w:rsidRDefault="00B3462D" w:rsidP="00B3462D">
      <w:pPr>
        <w:autoSpaceDE w:val="0"/>
        <w:autoSpaceDN w:val="0"/>
        <w:adjustRightInd w:val="0"/>
        <w:rPr>
          <w:rFonts w:ascii="Arial" w:hAnsi="Arial" w:cs="Arial"/>
          <w:lang w:eastAsia="zh-CN"/>
        </w:rPr>
      </w:pPr>
      <w:r w:rsidRPr="00DE27D3">
        <w:rPr>
          <w:rFonts w:ascii="Arial" w:hAnsi="Arial" w:cs="Arial"/>
          <w:lang w:eastAsia="zh-CN"/>
        </w:rPr>
        <w:t>- Other costs e.g. communication, accommodation, travel, and printing where necessary.</w:t>
      </w:r>
    </w:p>
    <w:p w:rsidR="00B3462D" w:rsidRPr="00DE27D3" w:rsidRDefault="00B3462D" w:rsidP="00B3462D">
      <w:pPr>
        <w:autoSpaceDE w:val="0"/>
        <w:autoSpaceDN w:val="0"/>
        <w:adjustRightInd w:val="0"/>
        <w:rPr>
          <w:rFonts w:ascii="Arial" w:hAnsi="Arial" w:cs="Arial"/>
          <w:b/>
          <w:bCs/>
          <w:sz w:val="24"/>
          <w:lang w:val="en-US"/>
        </w:rPr>
      </w:pPr>
      <w:r w:rsidRPr="00DE27D3">
        <w:rPr>
          <w:rFonts w:ascii="Arial" w:hAnsi="Arial" w:cs="Arial"/>
          <w:b/>
          <w:bCs/>
          <w:sz w:val="24"/>
          <w:lang w:val="en-US"/>
        </w:rPr>
        <w:t>Capacity Statement</w:t>
      </w:r>
    </w:p>
    <w:p w:rsidR="00B3462D" w:rsidRPr="00DE27D3" w:rsidRDefault="00B3462D" w:rsidP="00B3462D">
      <w:pPr>
        <w:autoSpaceDE w:val="0"/>
        <w:autoSpaceDN w:val="0"/>
        <w:adjustRightInd w:val="0"/>
        <w:rPr>
          <w:rFonts w:ascii="Arial" w:hAnsi="Arial" w:cs="Arial"/>
          <w:lang w:eastAsia="zh-CN"/>
        </w:rPr>
      </w:pPr>
      <w:r w:rsidRPr="00DE27D3">
        <w:rPr>
          <w:rFonts w:ascii="Arial" w:hAnsi="Arial" w:cs="Arial"/>
          <w:lang w:eastAsia="zh-CN"/>
        </w:rPr>
        <w:t>- Relevant experience related to the assignment</w:t>
      </w:r>
    </w:p>
    <w:p w:rsidR="00B3462D" w:rsidRPr="00DE27D3" w:rsidRDefault="00B3462D" w:rsidP="00B3462D">
      <w:pPr>
        <w:autoSpaceDE w:val="0"/>
        <w:autoSpaceDN w:val="0"/>
        <w:adjustRightInd w:val="0"/>
        <w:rPr>
          <w:rFonts w:ascii="Arial" w:hAnsi="Arial" w:cs="Arial"/>
          <w:lang w:eastAsia="zh-CN"/>
        </w:rPr>
      </w:pPr>
      <w:r w:rsidRPr="00DE27D3">
        <w:rPr>
          <w:rFonts w:ascii="Arial" w:hAnsi="Arial" w:cs="Arial"/>
          <w:lang w:eastAsia="zh-CN"/>
        </w:rPr>
        <w:t>- Contacts of organizations previously worked for</w:t>
      </w:r>
    </w:p>
    <w:p w:rsidR="00B3462D" w:rsidRPr="00DE27D3" w:rsidRDefault="00B3462D" w:rsidP="00B3462D">
      <w:pPr>
        <w:autoSpaceDE w:val="0"/>
        <w:autoSpaceDN w:val="0"/>
        <w:adjustRightInd w:val="0"/>
        <w:rPr>
          <w:rFonts w:ascii="Arial" w:hAnsi="Arial" w:cs="Arial"/>
          <w:lang w:eastAsia="zh-CN"/>
        </w:rPr>
      </w:pPr>
      <w:r w:rsidRPr="00DE27D3">
        <w:rPr>
          <w:rFonts w:ascii="Arial" w:hAnsi="Arial" w:cs="Arial"/>
          <w:lang w:eastAsia="zh-CN"/>
        </w:rPr>
        <w:t>- Curriculum vitae detailing relevant experience for the assignment in question</w:t>
      </w:r>
    </w:p>
    <w:p w:rsidR="00B3462D" w:rsidRPr="00DE27D3" w:rsidRDefault="00B3462D" w:rsidP="00B3462D">
      <w:pPr>
        <w:autoSpaceDE w:val="0"/>
        <w:autoSpaceDN w:val="0"/>
        <w:adjustRightInd w:val="0"/>
        <w:rPr>
          <w:rFonts w:ascii="Arial" w:hAnsi="Arial" w:cs="Arial"/>
          <w:b/>
          <w:bCs/>
          <w:sz w:val="24"/>
          <w:lang w:val="en-US"/>
        </w:rPr>
      </w:pPr>
      <w:r w:rsidRPr="00DE27D3">
        <w:rPr>
          <w:rFonts w:ascii="Arial" w:hAnsi="Arial" w:cs="Arial"/>
          <w:b/>
          <w:bCs/>
          <w:sz w:val="24"/>
          <w:lang w:val="en-US"/>
        </w:rPr>
        <w:t>Availability dates</w:t>
      </w:r>
    </w:p>
    <w:p w:rsidR="000D625B" w:rsidRPr="00DE27D3" w:rsidRDefault="00B3462D" w:rsidP="001E2922">
      <w:pPr>
        <w:autoSpaceDE w:val="0"/>
        <w:autoSpaceDN w:val="0"/>
        <w:adjustRightInd w:val="0"/>
        <w:rPr>
          <w:rFonts w:ascii="Arial" w:hAnsi="Arial" w:cs="Arial"/>
          <w:lang w:eastAsia="zh-CN"/>
        </w:rPr>
      </w:pPr>
      <w:r w:rsidRPr="00DE27D3">
        <w:rPr>
          <w:rFonts w:ascii="Arial" w:hAnsi="Arial" w:cs="Arial"/>
          <w:lang w:eastAsia="zh-CN"/>
        </w:rPr>
        <w:t>- Exact dates when you can commence wor</w:t>
      </w:r>
      <w:r w:rsidR="001E2922" w:rsidRPr="00DE27D3">
        <w:rPr>
          <w:rFonts w:ascii="Arial" w:hAnsi="Arial" w:cs="Arial"/>
          <w:lang w:eastAsia="zh-CN"/>
        </w:rPr>
        <w:t>k should your bid be successful</w:t>
      </w:r>
    </w:p>
    <w:p w:rsidR="00BD643F" w:rsidRPr="00DE27D3" w:rsidRDefault="00BD643F" w:rsidP="00743BA7">
      <w:pPr>
        <w:widowControl w:val="0"/>
        <w:spacing w:after="0" w:line="240" w:lineRule="auto"/>
        <w:jc w:val="both"/>
        <w:rPr>
          <w:rFonts w:ascii="Arial" w:hAnsi="Arial" w:cs="Arial"/>
          <w:b/>
          <w:lang w:eastAsia="zh-CN"/>
        </w:rPr>
      </w:pPr>
      <w:r w:rsidRPr="00DE27D3">
        <w:rPr>
          <w:rFonts w:ascii="Arial" w:hAnsi="Arial" w:cs="Arial"/>
          <w:b/>
          <w:lang w:eastAsia="zh-CN"/>
        </w:rPr>
        <w:t>Evaluation and award of consultancy</w:t>
      </w:r>
    </w:p>
    <w:p w:rsidR="00BD643F" w:rsidRPr="00DE27D3" w:rsidRDefault="00BD643F" w:rsidP="00841214">
      <w:pPr>
        <w:autoSpaceDE w:val="0"/>
        <w:autoSpaceDN w:val="0"/>
        <w:adjustRightInd w:val="0"/>
        <w:rPr>
          <w:rFonts w:ascii="Arial" w:hAnsi="Arial" w:cs="Arial"/>
          <w:lang w:eastAsia="zh-CN"/>
        </w:rPr>
      </w:pPr>
      <w:r w:rsidRPr="00DE27D3">
        <w:rPr>
          <w:rFonts w:ascii="Arial" w:hAnsi="Arial" w:cs="Arial"/>
          <w:lang w:eastAsia="zh-CN"/>
        </w:rPr>
        <w:t>Health Poverty Action will evaluate the proposals and award the assignment based on technical and financial feasibility including availability dates. Health Poverty Action reserves the right to accept or reject any proposal received without giving reasons and is not bound to accept the lowest or the highest bidder.</w:t>
      </w:r>
    </w:p>
    <w:p w:rsidR="00CF5D7D" w:rsidRPr="00DE27D3" w:rsidRDefault="00CF5D7D" w:rsidP="009A5653">
      <w:pPr>
        <w:rPr>
          <w:rStyle w:val="a4"/>
          <w:rFonts w:ascii="Arial" w:hAnsi="Arial" w:cs="Arial"/>
        </w:rPr>
      </w:pPr>
    </w:p>
    <w:sectPr w:rsidR="00CF5D7D" w:rsidRPr="00DE2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800002BF" w:usb1="38CF7CFA" w:usb2="00000016" w:usb3="00000000" w:csb0="00040001" w:csb1="00000000"/>
  </w:font>
  <w:font w:name="Microsoft JhengHei Light">
    <w:panose1 w:val="020B0304030504040204"/>
    <w:charset w:val="88"/>
    <w:family w:val="swiss"/>
    <w:pitch w:val="variable"/>
    <w:sig w:usb0="8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23D0D"/>
    <w:multiLevelType w:val="multilevel"/>
    <w:tmpl w:val="30C23D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57802DC"/>
    <w:multiLevelType w:val="multilevel"/>
    <w:tmpl w:val="357802DC"/>
    <w:lvl w:ilvl="0">
      <w:start w:val="2"/>
      <w:numFmt w:val="decimal"/>
      <w:lvlText w:val="%1."/>
      <w:lvlJc w:val="left"/>
      <w:pPr>
        <w:ind w:left="360" w:hanging="360"/>
      </w:pPr>
      <w:rPr>
        <w:rFonts w:hint="default"/>
      </w:rPr>
    </w:lvl>
    <w:lvl w:ilvl="1">
      <w:start w:val="2"/>
      <w:numFmt w:val="decimal"/>
      <w:isLgl/>
      <w:lvlText w:val="%1.%2"/>
      <w:lvlJc w:val="left"/>
      <w:pPr>
        <w:ind w:left="840" w:hanging="840"/>
      </w:pPr>
      <w:rPr>
        <w:rFonts w:hint="default"/>
      </w:rPr>
    </w:lvl>
    <w:lvl w:ilvl="2">
      <w:start w:val="2"/>
      <w:numFmt w:val="decimal"/>
      <w:isLgl/>
      <w:lvlText w:val="%1.%2.%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C751176"/>
    <w:multiLevelType w:val="hybridMultilevel"/>
    <w:tmpl w:val="133C5A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EA91E42"/>
    <w:multiLevelType w:val="hybridMultilevel"/>
    <w:tmpl w:val="1994CC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08"/>
    <w:rsid w:val="000274F2"/>
    <w:rsid w:val="000822AE"/>
    <w:rsid w:val="000A3A8E"/>
    <w:rsid w:val="000A6334"/>
    <w:rsid w:val="000A793F"/>
    <w:rsid w:val="000B089A"/>
    <w:rsid w:val="000C4416"/>
    <w:rsid w:val="000D2960"/>
    <w:rsid w:val="000D625B"/>
    <w:rsid w:val="000D7EDB"/>
    <w:rsid w:val="00125B99"/>
    <w:rsid w:val="00142EA4"/>
    <w:rsid w:val="001702C2"/>
    <w:rsid w:val="00182469"/>
    <w:rsid w:val="001833C7"/>
    <w:rsid w:val="001960F1"/>
    <w:rsid w:val="001B691C"/>
    <w:rsid w:val="001C1646"/>
    <w:rsid w:val="001C5408"/>
    <w:rsid w:val="001E2922"/>
    <w:rsid w:val="001F10E9"/>
    <w:rsid w:val="00232FFD"/>
    <w:rsid w:val="00233295"/>
    <w:rsid w:val="00233354"/>
    <w:rsid w:val="00243A0C"/>
    <w:rsid w:val="00260B35"/>
    <w:rsid w:val="00275335"/>
    <w:rsid w:val="00275DBC"/>
    <w:rsid w:val="00297FA2"/>
    <w:rsid w:val="002A3780"/>
    <w:rsid w:val="002A460B"/>
    <w:rsid w:val="002B1050"/>
    <w:rsid w:val="002B76DF"/>
    <w:rsid w:val="002C2E58"/>
    <w:rsid w:val="002F0627"/>
    <w:rsid w:val="00304783"/>
    <w:rsid w:val="003055BB"/>
    <w:rsid w:val="00326C40"/>
    <w:rsid w:val="00327CBB"/>
    <w:rsid w:val="00352D0F"/>
    <w:rsid w:val="003654C8"/>
    <w:rsid w:val="003960BB"/>
    <w:rsid w:val="003A75D3"/>
    <w:rsid w:val="003B7E24"/>
    <w:rsid w:val="003C7B0C"/>
    <w:rsid w:val="003E779D"/>
    <w:rsid w:val="003F61C8"/>
    <w:rsid w:val="00471148"/>
    <w:rsid w:val="00471E86"/>
    <w:rsid w:val="004729E8"/>
    <w:rsid w:val="00473786"/>
    <w:rsid w:val="004812F6"/>
    <w:rsid w:val="00496A2E"/>
    <w:rsid w:val="004A0E67"/>
    <w:rsid w:val="004E5BEE"/>
    <w:rsid w:val="004E5C7F"/>
    <w:rsid w:val="004F14DF"/>
    <w:rsid w:val="004F5E94"/>
    <w:rsid w:val="00514AC1"/>
    <w:rsid w:val="0053081C"/>
    <w:rsid w:val="0056719C"/>
    <w:rsid w:val="00587B8D"/>
    <w:rsid w:val="005A6C4A"/>
    <w:rsid w:val="005B2040"/>
    <w:rsid w:val="005B37C2"/>
    <w:rsid w:val="005B7DCD"/>
    <w:rsid w:val="005C234B"/>
    <w:rsid w:val="005C2E7F"/>
    <w:rsid w:val="005D4BC8"/>
    <w:rsid w:val="005E128B"/>
    <w:rsid w:val="005F4FF8"/>
    <w:rsid w:val="005F50FD"/>
    <w:rsid w:val="005F78E2"/>
    <w:rsid w:val="00607300"/>
    <w:rsid w:val="00623654"/>
    <w:rsid w:val="00630667"/>
    <w:rsid w:val="00634636"/>
    <w:rsid w:val="00634672"/>
    <w:rsid w:val="00656ED4"/>
    <w:rsid w:val="00663BAE"/>
    <w:rsid w:val="00692BE4"/>
    <w:rsid w:val="0069568E"/>
    <w:rsid w:val="006C75CC"/>
    <w:rsid w:val="006D5D3F"/>
    <w:rsid w:val="006E6552"/>
    <w:rsid w:val="00716E0C"/>
    <w:rsid w:val="00723B35"/>
    <w:rsid w:val="00737B45"/>
    <w:rsid w:val="00743BA7"/>
    <w:rsid w:val="0076011B"/>
    <w:rsid w:val="007622CC"/>
    <w:rsid w:val="007915C2"/>
    <w:rsid w:val="007A44EA"/>
    <w:rsid w:val="007A4CC0"/>
    <w:rsid w:val="007B2182"/>
    <w:rsid w:val="007B2B82"/>
    <w:rsid w:val="007D03E9"/>
    <w:rsid w:val="007D4705"/>
    <w:rsid w:val="007D6DAB"/>
    <w:rsid w:val="007F0020"/>
    <w:rsid w:val="007F01C4"/>
    <w:rsid w:val="007F7277"/>
    <w:rsid w:val="00800885"/>
    <w:rsid w:val="0081415E"/>
    <w:rsid w:val="00821844"/>
    <w:rsid w:val="00825E92"/>
    <w:rsid w:val="00830B51"/>
    <w:rsid w:val="00833A0E"/>
    <w:rsid w:val="00833D5B"/>
    <w:rsid w:val="00841214"/>
    <w:rsid w:val="008476EA"/>
    <w:rsid w:val="00852B1B"/>
    <w:rsid w:val="00853F3D"/>
    <w:rsid w:val="00854296"/>
    <w:rsid w:val="008614FE"/>
    <w:rsid w:val="00872BB1"/>
    <w:rsid w:val="00873863"/>
    <w:rsid w:val="00885B64"/>
    <w:rsid w:val="00886D80"/>
    <w:rsid w:val="0089670E"/>
    <w:rsid w:val="008D7904"/>
    <w:rsid w:val="008E5F2D"/>
    <w:rsid w:val="009069F8"/>
    <w:rsid w:val="0092445C"/>
    <w:rsid w:val="009263A5"/>
    <w:rsid w:val="00943FC1"/>
    <w:rsid w:val="00955585"/>
    <w:rsid w:val="0095621C"/>
    <w:rsid w:val="00971DA3"/>
    <w:rsid w:val="00982254"/>
    <w:rsid w:val="00993774"/>
    <w:rsid w:val="0099694D"/>
    <w:rsid w:val="00996E09"/>
    <w:rsid w:val="009A1DB7"/>
    <w:rsid w:val="009A4B25"/>
    <w:rsid w:val="009A5653"/>
    <w:rsid w:val="009A6AC6"/>
    <w:rsid w:val="009C283C"/>
    <w:rsid w:val="009D6786"/>
    <w:rsid w:val="009E4B31"/>
    <w:rsid w:val="009E64E8"/>
    <w:rsid w:val="009F1358"/>
    <w:rsid w:val="009F6CE0"/>
    <w:rsid w:val="00A2433E"/>
    <w:rsid w:val="00A24A6F"/>
    <w:rsid w:val="00A34B59"/>
    <w:rsid w:val="00A510E3"/>
    <w:rsid w:val="00AC200F"/>
    <w:rsid w:val="00AC6316"/>
    <w:rsid w:val="00AD780C"/>
    <w:rsid w:val="00AF76A0"/>
    <w:rsid w:val="00B25FAE"/>
    <w:rsid w:val="00B3462D"/>
    <w:rsid w:val="00B51603"/>
    <w:rsid w:val="00B5687E"/>
    <w:rsid w:val="00B82B65"/>
    <w:rsid w:val="00B95FB4"/>
    <w:rsid w:val="00BC116B"/>
    <w:rsid w:val="00BC7830"/>
    <w:rsid w:val="00BD643F"/>
    <w:rsid w:val="00BE6D41"/>
    <w:rsid w:val="00C05B5E"/>
    <w:rsid w:val="00C147B6"/>
    <w:rsid w:val="00C16CB0"/>
    <w:rsid w:val="00C21CC9"/>
    <w:rsid w:val="00C66386"/>
    <w:rsid w:val="00C670A2"/>
    <w:rsid w:val="00C96818"/>
    <w:rsid w:val="00CB378E"/>
    <w:rsid w:val="00CC0EE2"/>
    <w:rsid w:val="00CC79C1"/>
    <w:rsid w:val="00CE381A"/>
    <w:rsid w:val="00CE44FA"/>
    <w:rsid w:val="00CE5FB8"/>
    <w:rsid w:val="00CF2FB6"/>
    <w:rsid w:val="00CF5D7D"/>
    <w:rsid w:val="00D06A21"/>
    <w:rsid w:val="00D10437"/>
    <w:rsid w:val="00D2369C"/>
    <w:rsid w:val="00D46602"/>
    <w:rsid w:val="00D531A5"/>
    <w:rsid w:val="00D94F2E"/>
    <w:rsid w:val="00DC1CEB"/>
    <w:rsid w:val="00DC242B"/>
    <w:rsid w:val="00DE27D3"/>
    <w:rsid w:val="00DE55EB"/>
    <w:rsid w:val="00DE5654"/>
    <w:rsid w:val="00DF690B"/>
    <w:rsid w:val="00E30F05"/>
    <w:rsid w:val="00E72F0F"/>
    <w:rsid w:val="00EA725F"/>
    <w:rsid w:val="00EC759E"/>
    <w:rsid w:val="00EE61D0"/>
    <w:rsid w:val="00EF4B7C"/>
    <w:rsid w:val="00F17A47"/>
    <w:rsid w:val="00F21F9B"/>
    <w:rsid w:val="00F31E4C"/>
    <w:rsid w:val="00F603AF"/>
    <w:rsid w:val="00F7026D"/>
    <w:rsid w:val="00F801B0"/>
    <w:rsid w:val="00F807DD"/>
    <w:rsid w:val="00FB5754"/>
    <w:rsid w:val="00FC319E"/>
    <w:rsid w:val="00FC43CC"/>
    <w:rsid w:val="00FD3DE9"/>
    <w:rsid w:val="00FF49E2"/>
    <w:rsid w:val="00FF6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B558"/>
  <w15:chartTrackingRefBased/>
  <w15:docId w15:val="{B2294CDF-3092-4051-A78F-AF5E64FA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654C8"/>
    <w:pPr>
      <w:spacing w:after="160" w:line="256" w:lineRule="auto"/>
    </w:pPr>
    <w:rPr>
      <w:kern w:val="0"/>
      <w:sz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812F6"/>
    <w:rPr>
      <w:color w:val="0000FF"/>
      <w:u w:val="single"/>
    </w:rPr>
  </w:style>
  <w:style w:type="paragraph" w:styleId="a5">
    <w:name w:val="Normal (Web)"/>
    <w:basedOn w:val="a"/>
    <w:uiPriority w:val="99"/>
    <w:unhideWhenUsed/>
    <w:rsid w:val="005F78E2"/>
    <w:pPr>
      <w:spacing w:before="100" w:beforeAutospacing="1" w:after="100" w:afterAutospacing="1" w:line="240" w:lineRule="auto"/>
    </w:pPr>
    <w:rPr>
      <w:rFonts w:ascii="宋体" w:eastAsia="宋体" w:hAnsi="宋体" w:cs="宋体"/>
      <w:sz w:val="24"/>
      <w:szCs w:val="24"/>
      <w:lang w:val="en-US" w:eastAsia="zh-CN"/>
    </w:rPr>
  </w:style>
  <w:style w:type="paragraph" w:styleId="a6">
    <w:name w:val="List Paragraph"/>
    <w:basedOn w:val="a"/>
    <w:uiPriority w:val="34"/>
    <w:qFormat/>
    <w:rsid w:val="00FD3D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25625">
      <w:bodyDiv w:val="1"/>
      <w:marLeft w:val="0"/>
      <w:marRight w:val="0"/>
      <w:marTop w:val="0"/>
      <w:marBottom w:val="0"/>
      <w:divBdr>
        <w:top w:val="none" w:sz="0" w:space="0" w:color="auto"/>
        <w:left w:val="none" w:sz="0" w:space="0" w:color="auto"/>
        <w:bottom w:val="none" w:sz="0" w:space="0" w:color="auto"/>
        <w:right w:val="none" w:sz="0" w:space="0" w:color="auto"/>
      </w:divBdr>
    </w:div>
    <w:div w:id="625545425">
      <w:bodyDiv w:val="1"/>
      <w:marLeft w:val="0"/>
      <w:marRight w:val="0"/>
      <w:marTop w:val="0"/>
      <w:marBottom w:val="0"/>
      <w:divBdr>
        <w:top w:val="none" w:sz="0" w:space="0" w:color="auto"/>
        <w:left w:val="none" w:sz="0" w:space="0" w:color="auto"/>
        <w:bottom w:val="none" w:sz="0" w:space="0" w:color="auto"/>
        <w:right w:val="none" w:sz="0" w:space="0" w:color="auto"/>
      </w:divBdr>
    </w:div>
    <w:div w:id="1333996160">
      <w:bodyDiv w:val="1"/>
      <w:marLeft w:val="0"/>
      <w:marRight w:val="0"/>
      <w:marTop w:val="0"/>
      <w:marBottom w:val="0"/>
      <w:divBdr>
        <w:top w:val="none" w:sz="0" w:space="0" w:color="auto"/>
        <w:left w:val="none" w:sz="0" w:space="0" w:color="auto"/>
        <w:bottom w:val="none" w:sz="0" w:space="0" w:color="auto"/>
        <w:right w:val="none" w:sz="0" w:space="0" w:color="auto"/>
      </w:divBdr>
    </w:div>
    <w:div w:id="185310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5</Pages>
  <Words>1401</Words>
  <Characters>7992</Characters>
  <Application>Microsoft Office Word</Application>
  <DocSecurity>0</DocSecurity>
  <Lines>66</Lines>
  <Paragraphs>18</Paragraphs>
  <ScaleCrop>false</ScaleCrop>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Cai</dc:creator>
  <cp:keywords/>
  <dc:description/>
  <cp:lastModifiedBy>胡锴</cp:lastModifiedBy>
  <cp:revision>281</cp:revision>
  <dcterms:created xsi:type="dcterms:W3CDTF">2017-02-27T01:40:00Z</dcterms:created>
  <dcterms:modified xsi:type="dcterms:W3CDTF">2017-03-13T05:43:00Z</dcterms:modified>
</cp:coreProperties>
</file>