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微软雅黑" w:hAnsi="微软雅黑" w:eastAsia="微软雅黑"/>
          <w:b/>
          <w:sz w:val="10"/>
          <w:szCs w:val="10"/>
        </w:rPr>
      </w:pPr>
    </w:p>
    <w:tbl>
      <w:tblPr>
        <w:tblStyle w:val="12"/>
        <w:tblW w:w="6764" w:type="dxa"/>
        <w:jc w:val="center"/>
        <w:tblInd w:w="0" w:type="dxa"/>
        <w:tblBorders>
          <w:top w:val="single" w:color="4BACC6" w:themeColor="accent5" w:sz="8" w:space="0"/>
          <w:left w:val="none" w:color="auto" w:sz="0" w:space="0"/>
          <w:bottom w:val="single" w:color="4BACC6" w:themeColor="accent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2319"/>
        <w:gridCol w:w="941"/>
        <w:gridCol w:w="2370"/>
      </w:tblGrid>
      <w:tr>
        <w:tblPrEx>
          <w:tblBorders>
            <w:top w:val="single" w:color="4BACC6" w:themeColor="accent5" w:sz="8" w:space="0"/>
            <w:left w:val="none" w:color="auto" w:sz="0" w:space="0"/>
            <w:bottom w:val="single" w:color="4BACC6" w:themeColor="accent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jc w:val="center"/>
        </w:trPr>
        <w:tc>
          <w:tcPr>
            <w:tcW w:w="1134" w:type="dxa"/>
            <w:tcBorders>
              <w:top w:val="single" w:color="4BACC6" w:themeColor="accent5" w:sz="8" w:space="0"/>
              <w:left w:val="nil"/>
              <w:bottom w:val="single" w:color="4BACC6" w:themeColor="accent5" w:sz="8" w:space="0"/>
              <w:right w:val="nil"/>
              <w:insideH w:val="single" w:sz="8" w:space="0"/>
              <w:insideV w:val="nil"/>
            </w:tcBorders>
          </w:tcPr>
          <w:p>
            <w:pPr>
              <w:spacing w:before="0" w:after="0" w:line="240" w:lineRule="auto"/>
              <w:jc w:val="center"/>
              <w:rPr>
                <w:rFonts w:ascii="微软雅黑" w:hAnsi="微软雅黑" w:eastAsia="微软雅黑"/>
                <w:b/>
                <w:bCs/>
                <w:color w:val="31859C" w:themeColor="accent5" w:themeShade="BF"/>
                <w:szCs w:val="21"/>
              </w:rPr>
            </w:pPr>
            <w:r>
              <w:rPr>
                <w:rFonts w:hint="eastAsia" w:ascii="微软雅黑" w:hAnsi="微软雅黑" w:eastAsia="微软雅黑"/>
                <w:b/>
                <w:bCs/>
                <w:color w:val="31859C" w:themeColor="accent5" w:themeShade="BF"/>
                <w:szCs w:val="21"/>
              </w:rPr>
              <w:t>主办</w:t>
            </w:r>
          </w:p>
        </w:tc>
        <w:tc>
          <w:tcPr>
            <w:tcW w:w="2319" w:type="dxa"/>
            <w:tcBorders>
              <w:top w:val="single" w:color="4BACC6" w:themeColor="accent5" w:sz="8" w:space="0"/>
              <w:bottom w:val="single" w:color="4BACC6" w:themeColor="accent5" w:sz="8" w:space="0"/>
              <w:right w:val="nil"/>
              <w:insideH w:val="single" w:sz="8" w:space="0"/>
              <w:insideV w:val="nil"/>
            </w:tcBorders>
          </w:tcPr>
          <w:p>
            <w:pPr>
              <w:spacing w:before="0" w:after="0" w:line="240" w:lineRule="auto"/>
              <w:jc w:val="center"/>
              <w:rPr>
                <w:rFonts w:ascii="微软雅黑" w:hAnsi="微软雅黑" w:eastAsia="微软雅黑"/>
                <w:b/>
                <w:bCs/>
                <w:color w:val="31859C" w:themeColor="accent5" w:themeShade="BF"/>
                <w:szCs w:val="21"/>
              </w:rPr>
            </w:pPr>
            <w:r>
              <w:rPr>
                <w:rFonts w:ascii="微软雅黑" w:hAnsi="微软雅黑" w:eastAsia="微软雅黑"/>
                <w:b/>
                <w:bCs/>
                <w:color w:val="31859C" w:themeColor="accent5" w:themeShade="BF"/>
                <w:szCs w:val="21"/>
              </w:rPr>
              <w:drawing>
                <wp:inline distT="0" distB="0" distL="0" distR="0">
                  <wp:extent cx="1285875" cy="367030"/>
                  <wp:effectExtent l="0" t="0" r="0" b="0"/>
                  <wp:docPr id="1" name="图片 1" descr="C:\Users\Administrator\Desktop\教育公益联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教育公益联盟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85875" cy="367393"/>
                          </a:xfrm>
                          <a:prstGeom prst="rect">
                            <a:avLst/>
                          </a:prstGeom>
                          <a:noFill/>
                          <a:ln>
                            <a:noFill/>
                          </a:ln>
                        </pic:spPr>
                      </pic:pic>
                    </a:graphicData>
                  </a:graphic>
                </wp:inline>
              </w:drawing>
            </w:r>
          </w:p>
        </w:tc>
        <w:tc>
          <w:tcPr>
            <w:tcW w:w="941" w:type="dxa"/>
            <w:tcBorders>
              <w:top w:val="single" w:color="4BACC6" w:themeColor="accent5" w:sz="8" w:space="0"/>
              <w:bottom w:val="single" w:color="4BACC6" w:themeColor="accent5" w:sz="8" w:space="0"/>
              <w:right w:val="nil"/>
              <w:insideH w:val="single" w:sz="8" w:space="0"/>
              <w:insideV w:val="nil"/>
            </w:tcBorders>
          </w:tcPr>
          <w:p>
            <w:pPr>
              <w:spacing w:before="0" w:after="0" w:line="240" w:lineRule="auto"/>
              <w:jc w:val="center"/>
              <w:rPr>
                <w:rFonts w:ascii="微软雅黑" w:hAnsi="微软雅黑" w:eastAsia="微软雅黑"/>
                <w:b/>
                <w:bCs/>
                <w:color w:val="31859C" w:themeColor="accent5" w:themeShade="BF"/>
                <w:szCs w:val="21"/>
              </w:rPr>
            </w:pPr>
            <w:r>
              <w:rPr>
                <w:rFonts w:hint="eastAsia" w:ascii="微软雅黑" w:hAnsi="微软雅黑" w:eastAsia="微软雅黑"/>
                <w:b/>
                <w:bCs/>
                <w:color w:val="31859C" w:themeColor="accent5" w:themeShade="BF"/>
                <w:szCs w:val="21"/>
              </w:rPr>
              <w:t>承办</w:t>
            </w:r>
          </w:p>
        </w:tc>
        <w:tc>
          <w:tcPr>
            <w:tcW w:w="2370" w:type="dxa"/>
            <w:tcBorders>
              <w:top w:val="single" w:color="4BACC6" w:themeColor="accent5" w:sz="8" w:space="0"/>
              <w:bottom w:val="single" w:color="4BACC6" w:themeColor="accent5" w:sz="8" w:space="0"/>
              <w:right w:val="nil"/>
              <w:insideH w:val="single" w:sz="8" w:space="0"/>
              <w:insideV w:val="nil"/>
            </w:tcBorders>
          </w:tcPr>
          <w:p>
            <w:pPr>
              <w:spacing w:before="0" w:after="0" w:line="240" w:lineRule="auto"/>
              <w:jc w:val="center"/>
              <w:rPr>
                <w:rFonts w:ascii="微软雅黑" w:hAnsi="微软雅黑" w:eastAsia="微软雅黑"/>
                <w:b/>
                <w:bCs/>
                <w:color w:val="31859C" w:themeColor="accent5" w:themeShade="BF"/>
                <w:szCs w:val="21"/>
              </w:rPr>
            </w:pPr>
            <w:r>
              <w:rPr>
                <w:b/>
                <w:bCs/>
                <w:color w:val="31859C" w:themeColor="accent5" w:themeShade="BF"/>
              </w:rPr>
              <w:drawing>
                <wp:inline distT="0" distB="0" distL="114300" distR="114300">
                  <wp:extent cx="1028700" cy="24257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lum/>
                          </a:blip>
                          <a:srcRect/>
                          <a:stretch>
                            <a:fillRect/>
                          </a:stretch>
                        </pic:blipFill>
                        <pic:spPr>
                          <a:xfrm>
                            <a:off x="0" y="0"/>
                            <a:ext cx="1028700" cy="242727"/>
                          </a:xfrm>
                          <a:prstGeom prst="rect">
                            <a:avLst/>
                          </a:prstGeom>
                          <a:noFill/>
                          <a:ln w="9525">
                            <a:noFill/>
                            <a:miter/>
                          </a:ln>
                        </pic:spPr>
                      </pic:pic>
                    </a:graphicData>
                  </a:graphic>
                </wp:inline>
              </w:drawing>
            </w:r>
          </w:p>
        </w:tc>
      </w:tr>
    </w:tbl>
    <w:p>
      <w:pPr>
        <w:rPr>
          <w:rFonts w:ascii="微软雅黑" w:hAnsi="微软雅黑" w:eastAsia="微软雅黑"/>
          <w:sz w:val="2"/>
          <w:szCs w:val="2"/>
        </w:rPr>
      </w:pPr>
    </w:p>
    <w:tbl>
      <w:tblPr>
        <w:tblStyle w:val="12"/>
        <w:tblW w:w="3085" w:type="dxa"/>
        <w:jc w:val="center"/>
        <w:tblInd w:w="0" w:type="dxa"/>
        <w:tblBorders>
          <w:top w:val="single" w:color="4BACC6" w:themeColor="accent5" w:sz="8" w:space="0"/>
          <w:left w:val="none" w:color="auto" w:sz="0" w:space="0"/>
          <w:bottom w:val="single" w:color="4BACC6" w:themeColor="accent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2"/>
        <w:gridCol w:w="1843"/>
      </w:tblGrid>
      <w:tr>
        <w:tblPrEx>
          <w:tblBorders>
            <w:top w:val="single" w:color="4BACC6" w:themeColor="accent5" w:sz="8" w:space="0"/>
            <w:left w:val="none" w:color="auto" w:sz="0" w:space="0"/>
            <w:bottom w:val="single" w:color="4BACC6" w:themeColor="accent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242" w:type="dxa"/>
            <w:tcBorders>
              <w:top w:val="single" w:color="4BACC6" w:themeColor="accent5" w:sz="8" w:space="0"/>
              <w:left w:val="nil"/>
              <w:bottom w:val="single" w:color="4BACC6" w:themeColor="accent5" w:sz="8" w:space="0"/>
              <w:right w:val="nil"/>
              <w:insideH w:val="single" w:sz="8" w:space="0"/>
              <w:insideV w:val="nil"/>
            </w:tcBorders>
          </w:tcPr>
          <w:p>
            <w:pPr>
              <w:spacing w:before="0" w:after="0" w:line="240" w:lineRule="auto"/>
              <w:rPr>
                <w:rFonts w:ascii="微软雅黑" w:hAnsi="微软雅黑" w:eastAsia="微软雅黑"/>
                <w:b/>
                <w:bCs/>
                <w:color w:val="31859C" w:themeColor="accent5" w:themeShade="BF"/>
              </w:rPr>
            </w:pPr>
            <w:r>
              <w:rPr>
                <w:rFonts w:hint="eastAsia" w:ascii="微软雅黑" w:hAnsi="微软雅黑" w:eastAsia="微软雅黑"/>
                <w:b/>
                <w:bCs/>
                <w:color w:val="31859C" w:themeColor="accent5" w:themeShade="BF"/>
              </w:rPr>
              <w:t>媒体合作</w:t>
            </w:r>
          </w:p>
        </w:tc>
        <w:tc>
          <w:tcPr>
            <w:tcW w:w="1843" w:type="dxa"/>
            <w:tcBorders>
              <w:top w:val="single" w:color="4BACC6" w:themeColor="accent5" w:sz="8" w:space="0"/>
              <w:bottom w:val="single" w:color="4BACC6" w:themeColor="accent5" w:sz="8" w:space="0"/>
              <w:right w:val="nil"/>
              <w:insideH w:val="single" w:sz="8" w:space="0"/>
              <w:insideV w:val="nil"/>
            </w:tcBorders>
          </w:tcPr>
          <w:p>
            <w:pPr>
              <w:spacing w:before="0" w:after="0" w:line="240" w:lineRule="auto"/>
              <w:jc w:val="center"/>
              <w:rPr>
                <w:rFonts w:ascii="微软雅黑" w:hAnsi="微软雅黑" w:eastAsia="微软雅黑"/>
                <w:b/>
                <w:bCs/>
                <w:color w:val="31859C" w:themeColor="accent5" w:themeShade="BF"/>
              </w:rPr>
            </w:pPr>
            <w:r>
              <w:rPr>
                <w:rFonts w:ascii="微软雅黑" w:hAnsi="微软雅黑" w:eastAsia="微软雅黑"/>
                <w:b/>
                <w:bCs/>
                <w:color w:val="31859C" w:themeColor="accent5" w:themeShade="BF"/>
              </w:rPr>
              <w:drawing>
                <wp:inline distT="0" distB="0" distL="0" distR="0">
                  <wp:extent cx="511810" cy="285750"/>
                  <wp:effectExtent l="0" t="0" r="2540" b="0"/>
                  <wp:docPr id="5" name="图片 5" descr="C:\Users\Administrator\Desktop\教育公益联盟年度沙龙\善达网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教育公益联盟年度沙龙\善达网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18101" cy="288922"/>
                          </a:xfrm>
                          <a:prstGeom prst="rect">
                            <a:avLst/>
                          </a:prstGeom>
                          <a:noFill/>
                          <a:ln>
                            <a:noFill/>
                          </a:ln>
                        </pic:spPr>
                      </pic:pic>
                    </a:graphicData>
                  </a:graphic>
                </wp:inline>
              </w:drawing>
            </w:r>
          </w:p>
        </w:tc>
      </w:tr>
    </w:tbl>
    <w:p>
      <w:pPr>
        <w:jc w:val="center"/>
        <w:rPr>
          <w:rFonts w:hint="eastAsia" w:ascii="微软雅黑" w:hAnsi="微软雅黑" w:eastAsia="微软雅黑"/>
          <w:b/>
          <w:bCs/>
          <w:sz w:val="32"/>
          <w:szCs w:val="32"/>
        </w:rPr>
      </w:pPr>
    </w:p>
    <w:p>
      <w:pPr>
        <w:jc w:val="center"/>
        <w:rPr>
          <w:rFonts w:hint="eastAsia" w:ascii="微软雅黑" w:hAnsi="微软雅黑" w:eastAsia="微软雅黑"/>
          <w:b/>
          <w:bCs/>
          <w:sz w:val="32"/>
          <w:szCs w:val="32"/>
        </w:rPr>
      </w:pPr>
      <w:r>
        <w:rPr>
          <w:rFonts w:hint="eastAsia" w:ascii="微软雅黑" w:hAnsi="微软雅黑" w:eastAsia="微软雅黑"/>
          <w:b/>
          <w:bCs/>
          <w:sz w:val="32"/>
          <w:szCs w:val="32"/>
        </w:rPr>
        <w:t>公益资源的培育和激发</w:t>
      </w:r>
    </w:p>
    <w:p>
      <w:pPr>
        <w:jc w:val="center"/>
        <w:rPr>
          <w:rFonts w:hint="eastAsia" w:ascii="微软雅黑" w:hAnsi="微软雅黑" w:eastAsia="微软雅黑"/>
          <w:b/>
          <w:bCs/>
          <w:sz w:val="24"/>
          <w:szCs w:val="24"/>
          <w:lang w:eastAsia="zh-CN"/>
        </w:rPr>
      </w:pPr>
      <w:r>
        <w:rPr>
          <w:rFonts w:hint="eastAsia" w:ascii="微软雅黑" w:hAnsi="微软雅黑" w:eastAsia="微软雅黑"/>
          <w:b/>
          <w:bCs/>
          <w:sz w:val="24"/>
          <w:szCs w:val="24"/>
          <w:lang w:eastAsia="zh-CN"/>
        </w:rPr>
        <w:t>——教育公益联盟2015年度第八期沙龙</w:t>
      </w:r>
    </w:p>
    <w:p>
      <w:pPr>
        <w:jc w:val="both"/>
        <w:rPr>
          <w:rFonts w:hint="eastAsia" w:ascii="微软雅黑" w:hAnsi="微软雅黑" w:eastAsia="微软雅黑"/>
          <w:b/>
          <w:bCs/>
          <w:sz w:val="24"/>
          <w:szCs w:val="24"/>
          <w:lang w:eastAsia="zh-CN"/>
        </w:rPr>
      </w:pPr>
    </w:p>
    <w:p>
      <w:pPr>
        <w:ind w:firstLine="420" w:firstLineChars="200"/>
        <w:jc w:val="left"/>
        <w:rPr>
          <w:rFonts w:hint="eastAsia" w:ascii="微软雅黑" w:hAnsi="微软雅黑" w:eastAsia="微软雅黑"/>
          <w:b w:val="0"/>
          <w:bCs w:val="0"/>
          <w:sz w:val="21"/>
          <w:szCs w:val="21"/>
          <w:lang w:eastAsia="zh-CN"/>
        </w:rPr>
      </w:pPr>
      <w:r>
        <w:rPr>
          <w:rFonts w:hint="eastAsia" w:ascii="微软雅黑" w:hAnsi="微软雅黑" w:eastAsia="微软雅黑"/>
          <w:b w:val="0"/>
          <w:bCs w:val="0"/>
          <w:sz w:val="21"/>
          <w:szCs w:val="21"/>
          <w:lang w:eastAsia="zh-CN"/>
        </w:rPr>
        <w:t>2015年，中国的慈善公益事业延续了持续发展的势头。同时，面对包括《慈善法》的审议和即将出台，互联网技术对人们思维和行为的改变，教育公益组织在内的慈善公益机构越来越多开始关注更深层次社会问题和人的发展，包括社会企业在内的公益参与主体和形式越来越多元化……未来，慈善公益组织的专业化和市场化是必由之路。这其中，很重要的一个方面是公益组织的资源整合能力。某种程度上，这也是公益机构的核心竞争力所在。本期沙龙特别邀请</w:t>
      </w:r>
      <w:r>
        <w:rPr>
          <w:rFonts w:hint="eastAsia" w:ascii="微软雅黑" w:hAnsi="微软雅黑" w:eastAsia="微软雅黑"/>
          <w:b w:val="0"/>
          <w:bCs w:val="0"/>
          <w:sz w:val="21"/>
          <w:szCs w:val="21"/>
          <w:lang w:val="en-US" w:eastAsia="zh-CN"/>
        </w:rPr>
        <w:t>12位慈善公益组织负责人、专家学者和企业高管，与公益伙伴们一起分享和探讨公益资源的培育和激发话题。</w:t>
      </w:r>
    </w:p>
    <w:p>
      <w:pPr>
        <w:rPr>
          <w:rFonts w:ascii="微软雅黑" w:hAnsi="微软雅黑" w:eastAsia="微软雅黑"/>
        </w:rPr>
      </w:pPr>
    </w:p>
    <w:p>
      <w:pPr>
        <w:rPr>
          <w:rFonts w:ascii="微软雅黑" w:hAnsi="微软雅黑" w:eastAsia="微软雅黑"/>
        </w:rPr>
      </w:pPr>
      <w:r>
        <w:rPr>
          <w:rFonts w:hint="eastAsia" w:ascii="微软雅黑" w:hAnsi="微软雅黑" w:eastAsia="微软雅黑"/>
        </w:rPr>
        <w:t>主  题：公益资源的培育和激发</w:t>
      </w:r>
    </w:p>
    <w:p>
      <w:pPr>
        <w:rPr>
          <w:rFonts w:ascii="微软雅黑" w:hAnsi="微软雅黑" w:eastAsia="微软雅黑"/>
        </w:rPr>
      </w:pPr>
      <w:r>
        <w:rPr>
          <w:rFonts w:hint="eastAsia" w:ascii="微软雅黑" w:hAnsi="微软雅黑" w:eastAsia="微软雅黑"/>
        </w:rPr>
        <w:t>主持人：吕全斌</w:t>
      </w:r>
      <w:r>
        <w:rPr>
          <w:rFonts w:hint="eastAsia" w:ascii="微软雅黑" w:hAnsi="微软雅黑" w:eastAsia="微软雅黑"/>
          <w:szCs w:val="21"/>
        </w:rPr>
        <w:t>｜公益自媒体“二黑的爸”运营者，益+发起人</w:t>
      </w:r>
    </w:p>
    <w:p>
      <w:pPr>
        <w:rPr>
          <w:rFonts w:ascii="微软雅黑" w:hAnsi="微软雅黑" w:eastAsia="微软雅黑"/>
        </w:rPr>
      </w:pPr>
      <w:r>
        <w:rPr>
          <w:rFonts w:hint="eastAsia" w:ascii="微软雅黑" w:hAnsi="微软雅黑" w:eastAsia="微软雅黑"/>
        </w:rPr>
        <w:t>时  间：2015年12月10日 14:00-17:00</w:t>
      </w:r>
    </w:p>
    <w:p>
      <w:pPr>
        <w:rPr>
          <w:rFonts w:ascii="微软雅黑" w:hAnsi="微软雅黑" w:eastAsia="微软雅黑"/>
        </w:rPr>
      </w:pPr>
      <w:r>
        <w:rPr>
          <w:rFonts w:hint="eastAsia" w:ascii="微软雅黑" w:hAnsi="微软雅黑" w:eastAsia="微软雅黑"/>
        </w:rPr>
        <w:t>地  点：创Yi空间l建外SOHO恒惠路CBD文化体育广场创客汇一层</w:t>
      </w:r>
    </w:p>
    <w:p>
      <w:pPr>
        <w:rPr>
          <w:rFonts w:ascii="微软雅黑" w:hAnsi="微软雅黑" w:eastAsia="微软雅黑"/>
          <w:sz w:val="11"/>
          <w:szCs w:val="11"/>
        </w:rPr>
      </w:pPr>
    </w:p>
    <w:p>
      <w:pPr>
        <w:rPr>
          <w:rFonts w:ascii="微软雅黑" w:hAnsi="微软雅黑" w:eastAsia="微软雅黑"/>
        </w:rPr>
      </w:pPr>
      <w:r>
        <w:rPr>
          <w:rFonts w:hint="eastAsia" w:ascii="微软雅黑" w:hAnsi="微软雅黑" w:eastAsia="微软雅黑"/>
        </w:rPr>
        <w:t>13:30-14:00  签到</w:t>
      </w:r>
    </w:p>
    <w:p>
      <w:pPr>
        <w:rPr>
          <w:rFonts w:hint="eastAsia" w:ascii="微软雅黑" w:hAnsi="微软雅黑" w:eastAsia="微软雅黑"/>
        </w:rPr>
      </w:pPr>
      <w:r>
        <w:rPr>
          <w:rFonts w:hint="eastAsia" w:ascii="微软雅黑" w:hAnsi="微软雅黑" w:eastAsia="微软雅黑"/>
        </w:rPr>
        <w:t>14:00-14:05  开场</w:t>
      </w:r>
    </w:p>
    <w:p>
      <w:pPr>
        <w:rPr>
          <w:rFonts w:hint="eastAsia" w:ascii="微软雅黑" w:hAnsi="微软雅黑" w:eastAsia="微软雅黑"/>
        </w:rPr>
      </w:pPr>
    </w:p>
    <w:p>
      <w:pPr>
        <w:rPr>
          <w:rFonts w:ascii="微软雅黑" w:hAnsi="微软雅黑" w:eastAsia="微软雅黑"/>
        </w:rPr>
      </w:pPr>
      <w:r>
        <w:rPr>
          <w:rFonts w:hint="eastAsia" w:ascii="微软雅黑" w:hAnsi="微软雅黑" w:eastAsia="微软雅黑"/>
        </w:rPr>
        <w:t xml:space="preserve">14:05-14:50  </w:t>
      </w:r>
      <w:r>
        <w:rPr>
          <w:rFonts w:hint="eastAsia" w:ascii="微软雅黑" w:hAnsi="微软雅黑" w:eastAsia="微软雅黑"/>
          <w:b/>
        </w:rPr>
        <w:t>捐赠人维护和发展</w:t>
      </w:r>
    </w:p>
    <w:p>
      <w:pPr>
        <w:ind w:left="1365" w:leftChars="650"/>
        <w:rPr>
          <w:rFonts w:ascii="微软雅黑" w:hAnsi="微软雅黑" w:eastAsia="微软雅黑"/>
          <w:szCs w:val="21"/>
        </w:rPr>
      </w:pPr>
      <w:r>
        <w:rPr>
          <w:rFonts w:hint="eastAsia" w:ascii="微软雅黑" w:hAnsi="微软雅黑" w:eastAsia="微软雅黑"/>
          <w:szCs w:val="21"/>
        </w:rPr>
        <w:t>这不是一个新的话题。随着公益机构的发展，捐赠人（机构和个人）数量会不断增加，如何维护好现有的捐赠人群体，激发他们更好地关注、参与和支持公益机构的公益项目和活动，甚至是公益机构的发展，将成为一个具有现实意义和值得探讨的话题。</w:t>
      </w:r>
    </w:p>
    <w:p>
      <w:pPr>
        <w:ind w:firstLine="1365" w:firstLineChars="650"/>
        <w:rPr>
          <w:rFonts w:ascii="微软雅黑" w:hAnsi="微软雅黑" w:eastAsia="微软雅黑"/>
          <w:b/>
          <w:szCs w:val="21"/>
        </w:rPr>
      </w:pPr>
      <w:r>
        <w:rPr>
          <w:rFonts w:hint="eastAsia" w:ascii="微软雅黑" w:hAnsi="微软雅黑" w:eastAsia="微软雅黑"/>
          <w:b/>
          <w:szCs w:val="21"/>
        </w:rPr>
        <w:t>发言嘉宾：</w:t>
      </w:r>
    </w:p>
    <w:p>
      <w:pPr>
        <w:ind w:firstLine="1365" w:firstLineChars="650"/>
        <w:rPr>
          <w:rFonts w:ascii="微软雅黑" w:hAnsi="微软雅黑" w:eastAsia="微软雅黑"/>
          <w:szCs w:val="21"/>
        </w:rPr>
      </w:pPr>
      <w:r>
        <w:rPr>
          <w:rFonts w:hint="eastAsia" w:ascii="微软雅黑" w:hAnsi="微软雅黑" w:eastAsia="微软雅黑"/>
          <w:szCs w:val="21"/>
        </w:rPr>
        <w:t>颜志涛｜中国扶贫基金会公众筹款部主任</w:t>
      </w:r>
    </w:p>
    <w:p>
      <w:pPr>
        <w:ind w:firstLine="1365" w:firstLineChars="650"/>
        <w:rPr>
          <w:rFonts w:ascii="微软雅黑" w:hAnsi="微软雅黑" w:eastAsia="微软雅黑"/>
          <w:szCs w:val="21"/>
        </w:rPr>
      </w:pPr>
      <w:r>
        <w:rPr>
          <w:rFonts w:hint="eastAsia" w:ascii="微软雅黑" w:hAnsi="微软雅黑" w:eastAsia="微软雅黑"/>
        </w:rPr>
        <w:t>国秀凡</w:t>
      </w:r>
      <w:r>
        <w:rPr>
          <w:rFonts w:hint="eastAsia" w:ascii="微软雅黑" w:hAnsi="微软雅黑" w:eastAsia="微软雅黑"/>
          <w:szCs w:val="21"/>
        </w:rPr>
        <w:t>｜</w:t>
      </w:r>
      <w:r>
        <w:rPr>
          <w:rFonts w:ascii="微软雅黑" w:hAnsi="微软雅黑" w:eastAsia="微软雅黑"/>
          <w:vanish/>
        </w:rPr>
        <w:t>思科大中华区合作伙伴事业部 分销合作伙伴及运营总监</w:t>
      </w:r>
      <w:r>
        <w:rPr>
          <w:rFonts w:hint="eastAsia" w:ascii="微软雅黑" w:hAnsi="微软雅黑" w:eastAsia="微软雅黑"/>
        </w:rPr>
        <w:t>思科大中华区合作伙伴事业部分销合作伙伴及运营总监</w:t>
      </w:r>
    </w:p>
    <w:p>
      <w:pPr>
        <w:ind w:firstLine="1365" w:firstLineChars="650"/>
        <w:rPr>
          <w:rFonts w:ascii="微软雅黑" w:hAnsi="微软雅黑" w:eastAsia="微软雅黑"/>
          <w:szCs w:val="21"/>
        </w:rPr>
      </w:pPr>
      <w:r>
        <w:rPr>
          <w:rFonts w:hint="eastAsia" w:ascii="微软雅黑" w:hAnsi="微软雅黑" w:eastAsia="微软雅黑"/>
          <w:szCs w:val="21"/>
        </w:rPr>
        <w:t>易  昕｜灵析创始人</w:t>
      </w:r>
    </w:p>
    <w:p>
      <w:pPr>
        <w:ind w:firstLine="1365" w:firstLineChars="650"/>
        <w:rPr>
          <w:rFonts w:ascii="微软雅黑" w:hAnsi="微软雅黑" w:eastAsia="微软雅黑"/>
          <w:b/>
          <w:szCs w:val="21"/>
        </w:rPr>
      </w:pPr>
      <w:r>
        <w:rPr>
          <w:rFonts w:hint="eastAsia" w:ascii="微软雅黑" w:hAnsi="微软雅黑" w:eastAsia="微软雅黑"/>
          <w:b/>
          <w:szCs w:val="21"/>
        </w:rPr>
        <w:t>话题主持兼点评：</w:t>
      </w:r>
    </w:p>
    <w:p>
      <w:pPr>
        <w:ind w:firstLine="1365" w:firstLineChars="650"/>
        <w:rPr>
          <w:rFonts w:ascii="微软雅黑" w:hAnsi="微软雅黑" w:eastAsia="微软雅黑"/>
          <w:szCs w:val="21"/>
        </w:rPr>
      </w:pPr>
      <w:r>
        <w:rPr>
          <w:rFonts w:hint="eastAsia" w:ascii="微软雅黑" w:hAnsi="微软雅黑" w:eastAsia="微软雅黑"/>
          <w:szCs w:val="21"/>
        </w:rPr>
        <w:t>姜  莹｜中华少年儿童慈善救助基金会副秘书长</w:t>
      </w:r>
    </w:p>
    <w:p>
      <w:pPr>
        <w:rPr>
          <w:rFonts w:ascii="微软雅黑" w:hAnsi="微软雅黑" w:eastAsia="微软雅黑"/>
        </w:rPr>
      </w:pPr>
      <w:r>
        <w:rPr>
          <w:rFonts w:hint="eastAsia" w:ascii="微软雅黑" w:hAnsi="微软雅黑" w:eastAsia="微软雅黑"/>
        </w:rPr>
        <w:t xml:space="preserve">14:50-15:35 </w:t>
      </w:r>
      <w:r>
        <w:rPr>
          <w:rFonts w:hint="eastAsia" w:ascii="微软雅黑" w:hAnsi="微软雅黑" w:eastAsia="微软雅黑"/>
          <w:b/>
        </w:rPr>
        <w:t>秘书处如何激发理事会治理水平和能力</w:t>
      </w:r>
    </w:p>
    <w:p>
      <w:pPr>
        <w:ind w:left="1260" w:leftChars="600"/>
        <w:rPr>
          <w:rFonts w:ascii="微软雅黑" w:hAnsi="微软雅黑" w:eastAsia="微软雅黑"/>
          <w:szCs w:val="21"/>
        </w:rPr>
      </w:pPr>
      <w:r>
        <w:rPr>
          <w:rFonts w:hint="eastAsia" w:ascii="微软雅黑" w:hAnsi="微软雅黑" w:eastAsia="微软雅黑"/>
          <w:szCs w:val="21"/>
        </w:rPr>
        <w:t>中国公益慈善事业发展迅速。然而，理事会的整体治理水平和能力不高。如何从秘书处层面，激发和改进理事会的参与度、治理和决策水平等，对于未来我国公益机构的发展和提升，是一个重要的内容。</w:t>
      </w:r>
    </w:p>
    <w:p>
      <w:pPr>
        <w:ind w:firstLine="1365" w:firstLineChars="650"/>
        <w:rPr>
          <w:rFonts w:ascii="微软雅黑" w:hAnsi="微软雅黑" w:eastAsia="微软雅黑"/>
          <w:b/>
          <w:szCs w:val="21"/>
        </w:rPr>
      </w:pPr>
      <w:r>
        <w:rPr>
          <w:rFonts w:hint="eastAsia" w:ascii="微软雅黑" w:hAnsi="微软雅黑" w:eastAsia="微软雅黑"/>
          <w:b/>
          <w:szCs w:val="21"/>
        </w:rPr>
        <w:t>发言嘉宾：</w:t>
      </w:r>
    </w:p>
    <w:p>
      <w:pPr>
        <w:ind w:firstLine="1365" w:firstLineChars="650"/>
        <w:rPr>
          <w:rFonts w:ascii="微软雅黑" w:hAnsi="微软雅黑" w:eastAsia="微软雅黑"/>
        </w:rPr>
      </w:pPr>
      <w:r>
        <w:rPr>
          <w:rFonts w:hint="eastAsia" w:ascii="微软雅黑" w:hAnsi="微软雅黑" w:eastAsia="微软雅黑"/>
        </w:rPr>
        <w:t>邢文毅</w:t>
      </w:r>
      <w:r>
        <w:rPr>
          <w:rFonts w:hint="eastAsia" w:ascii="微软雅黑" w:hAnsi="微软雅黑" w:eastAsia="微软雅黑"/>
          <w:szCs w:val="21"/>
        </w:rPr>
        <w:t>｜</w:t>
      </w:r>
      <w:r>
        <w:rPr>
          <w:rFonts w:hint="eastAsia" w:ascii="微软雅黑" w:hAnsi="微软雅黑" w:eastAsia="微软雅黑"/>
        </w:rPr>
        <w:t>北京乐平公益基金会副秘书长</w:t>
      </w:r>
    </w:p>
    <w:p>
      <w:pPr>
        <w:ind w:firstLine="1365" w:firstLineChars="650"/>
        <w:rPr>
          <w:rFonts w:ascii="微软雅黑" w:hAnsi="微软雅黑" w:eastAsia="微软雅黑"/>
        </w:rPr>
      </w:pPr>
      <w:r>
        <w:rPr>
          <w:rFonts w:hint="eastAsia" w:ascii="微软雅黑" w:hAnsi="微软雅黑" w:eastAsia="微软雅黑"/>
        </w:rPr>
        <w:t>程  芬</w:t>
      </w:r>
      <w:r>
        <w:rPr>
          <w:rFonts w:hint="eastAsia" w:ascii="微软雅黑" w:hAnsi="微软雅黑" w:eastAsia="微软雅黑"/>
          <w:szCs w:val="21"/>
        </w:rPr>
        <w:t>｜</w:t>
      </w:r>
      <w:r>
        <w:rPr>
          <w:rFonts w:hint="eastAsia" w:ascii="微软雅黑" w:hAnsi="微软雅黑" w:eastAsia="微软雅黑"/>
        </w:rPr>
        <w:t>中国公益研究院研究部主任</w:t>
      </w:r>
    </w:p>
    <w:p>
      <w:pPr>
        <w:ind w:firstLine="1365" w:firstLineChars="650"/>
        <w:rPr>
          <w:rFonts w:ascii="微软雅黑" w:hAnsi="微软雅黑" w:eastAsia="微软雅黑"/>
          <w:szCs w:val="21"/>
        </w:rPr>
      </w:pPr>
      <w:r>
        <w:rPr>
          <w:rFonts w:hint="eastAsia" w:ascii="微软雅黑" w:hAnsi="微软雅黑" w:eastAsia="微软雅黑"/>
        </w:rPr>
        <w:t>石  平</w:t>
      </w:r>
      <w:r>
        <w:rPr>
          <w:rFonts w:hint="eastAsia" w:ascii="微软雅黑" w:hAnsi="微软雅黑" w:eastAsia="微软雅黑"/>
          <w:szCs w:val="21"/>
        </w:rPr>
        <w:t>｜资深金融人士、桂馨（香港）基金会副理事长</w:t>
      </w:r>
    </w:p>
    <w:p>
      <w:pPr>
        <w:ind w:firstLine="1365" w:firstLineChars="650"/>
        <w:rPr>
          <w:rFonts w:ascii="微软雅黑" w:hAnsi="微软雅黑" w:eastAsia="微软雅黑"/>
          <w:b/>
          <w:szCs w:val="21"/>
        </w:rPr>
      </w:pPr>
      <w:r>
        <w:rPr>
          <w:rFonts w:hint="eastAsia" w:ascii="微软雅黑" w:hAnsi="微软雅黑" w:eastAsia="微软雅黑"/>
          <w:b/>
          <w:szCs w:val="21"/>
        </w:rPr>
        <w:t>话题主持兼点评：</w:t>
      </w:r>
    </w:p>
    <w:p>
      <w:pPr>
        <w:ind w:firstLine="1365" w:firstLineChars="650"/>
        <w:rPr>
          <w:rFonts w:ascii="微软雅黑" w:hAnsi="微软雅黑" w:eastAsia="微软雅黑"/>
        </w:rPr>
      </w:pPr>
      <w:r>
        <w:rPr>
          <w:rFonts w:hint="eastAsia" w:ascii="微软雅黑" w:hAnsi="微软雅黑" w:eastAsia="微软雅黑"/>
        </w:rPr>
        <w:t>金锦萍</w:t>
      </w:r>
      <w:r>
        <w:rPr>
          <w:rFonts w:hint="eastAsia" w:ascii="微软雅黑" w:hAnsi="微软雅黑" w:eastAsia="微软雅黑"/>
          <w:szCs w:val="21"/>
        </w:rPr>
        <w:t>｜北京大学法学院副教授、非营利组织法研究中心主任</w:t>
      </w:r>
    </w:p>
    <w:p>
      <w:pPr>
        <w:rPr>
          <w:rFonts w:ascii="微软雅黑" w:hAnsi="微软雅黑" w:eastAsia="微软雅黑"/>
        </w:rPr>
      </w:pPr>
      <w:r>
        <w:rPr>
          <w:rFonts w:hint="eastAsia" w:ascii="微软雅黑" w:hAnsi="微软雅黑" w:eastAsia="微软雅黑"/>
        </w:rPr>
        <w:t xml:space="preserve">15:35-16:20  </w:t>
      </w:r>
      <w:r>
        <w:rPr>
          <w:rFonts w:hint="eastAsia" w:ascii="微软雅黑" w:hAnsi="微软雅黑" w:eastAsia="微软雅黑"/>
          <w:b/>
        </w:rPr>
        <w:t>公益领域伙伴关系的建设</w:t>
      </w:r>
    </w:p>
    <w:p>
      <w:pPr>
        <w:ind w:left="1365" w:leftChars="650"/>
        <w:rPr>
          <w:rFonts w:ascii="微软雅黑" w:hAnsi="微软雅黑" w:eastAsia="微软雅黑"/>
          <w:szCs w:val="21"/>
        </w:rPr>
      </w:pPr>
      <w:r>
        <w:rPr>
          <w:rFonts w:hint="eastAsia" w:ascii="微软雅黑" w:hAnsi="微软雅黑" w:eastAsia="微软雅黑"/>
          <w:szCs w:val="21"/>
        </w:rPr>
        <w:t>伙伴关系的建设，是公益机构资源整合以及公益资源培育和激发的重要因素。志愿者、合作方、政府、专家和媒体等，公益组织需要在更充分理解这些相关方的诉求基础上，改善和提升同他们的关联，建立平等的基于具有共同公益价值追求的伙伴关系。互信、互挺、共享和共好等，是伙伴关系的体现。</w:t>
      </w:r>
    </w:p>
    <w:p>
      <w:pPr>
        <w:ind w:firstLine="1365" w:firstLineChars="650"/>
        <w:rPr>
          <w:rFonts w:ascii="微软雅黑" w:hAnsi="微软雅黑" w:eastAsia="微软雅黑"/>
          <w:b/>
        </w:rPr>
      </w:pPr>
      <w:r>
        <w:rPr>
          <w:rFonts w:hint="eastAsia" w:ascii="微软雅黑" w:hAnsi="微软雅黑" w:eastAsia="微软雅黑"/>
          <w:b/>
          <w:szCs w:val="21"/>
        </w:rPr>
        <w:t>发言嘉宾：</w:t>
      </w:r>
    </w:p>
    <w:p>
      <w:pPr>
        <w:ind w:firstLine="1365" w:firstLineChars="650"/>
        <w:rPr>
          <w:rFonts w:ascii="微软雅黑" w:hAnsi="微软雅黑" w:eastAsia="微软雅黑"/>
          <w:szCs w:val="21"/>
        </w:rPr>
      </w:pPr>
      <w:r>
        <w:rPr>
          <w:rFonts w:hint="eastAsia" w:ascii="微软雅黑" w:hAnsi="微软雅黑" w:eastAsia="微软雅黑"/>
          <w:szCs w:val="21"/>
        </w:rPr>
        <w:t>翟  雁｜北京惠泽人公益发展中心创始人理事长</w:t>
      </w:r>
    </w:p>
    <w:p>
      <w:pPr>
        <w:ind w:firstLine="1365" w:firstLineChars="650"/>
        <w:rPr>
          <w:rFonts w:ascii="微软雅黑" w:hAnsi="微软雅黑" w:eastAsia="微软雅黑"/>
          <w:szCs w:val="21"/>
        </w:rPr>
      </w:pPr>
      <w:r>
        <w:rPr>
          <w:rFonts w:hint="eastAsia" w:ascii="微软雅黑" w:hAnsi="微软雅黑" w:eastAsia="微软雅黑"/>
          <w:szCs w:val="21"/>
        </w:rPr>
        <w:t>张  帆｜弘慧教育基金会理事长</w:t>
      </w:r>
    </w:p>
    <w:p>
      <w:pPr>
        <w:ind w:firstLine="1365" w:firstLineChars="650"/>
        <w:rPr>
          <w:rFonts w:ascii="微软雅黑" w:hAnsi="微软雅黑" w:eastAsia="微软雅黑"/>
          <w:szCs w:val="21"/>
        </w:rPr>
      </w:pPr>
      <w:r>
        <w:rPr>
          <w:rFonts w:hint="eastAsia" w:ascii="微软雅黑" w:hAnsi="微软雅黑" w:eastAsia="微软雅黑"/>
        </w:rPr>
        <w:t>樊  英</w:t>
      </w:r>
      <w:r>
        <w:rPr>
          <w:rFonts w:hint="eastAsia" w:ascii="微软雅黑" w:hAnsi="微软雅黑" w:eastAsia="微软雅黑"/>
          <w:szCs w:val="21"/>
        </w:rPr>
        <w:t>｜北京桂馨慈善基金会秘书长</w:t>
      </w:r>
    </w:p>
    <w:p>
      <w:pPr>
        <w:ind w:firstLine="1365" w:firstLineChars="650"/>
        <w:rPr>
          <w:rFonts w:ascii="微软雅黑" w:hAnsi="微软雅黑" w:eastAsia="微软雅黑"/>
          <w:b/>
          <w:szCs w:val="21"/>
        </w:rPr>
      </w:pPr>
      <w:r>
        <w:rPr>
          <w:rFonts w:hint="eastAsia" w:ascii="微软雅黑" w:hAnsi="微软雅黑" w:eastAsia="微软雅黑"/>
          <w:b/>
          <w:szCs w:val="21"/>
        </w:rPr>
        <w:t>话题主持兼点评：</w:t>
      </w:r>
    </w:p>
    <w:p>
      <w:pPr>
        <w:ind w:firstLine="1365" w:firstLineChars="650"/>
        <w:rPr>
          <w:rFonts w:hint="eastAsia" w:ascii="微软雅黑" w:hAnsi="微软雅黑" w:eastAsia="微软雅黑"/>
          <w:szCs w:val="21"/>
        </w:rPr>
      </w:pPr>
      <w:r>
        <w:rPr>
          <w:rFonts w:hint="eastAsia" w:ascii="微软雅黑" w:hAnsi="微软雅黑" w:eastAsia="微软雅黑"/>
          <w:szCs w:val="21"/>
        </w:rPr>
        <w:t>梁晓燕｜资深公益人</w:t>
      </w:r>
    </w:p>
    <w:p>
      <w:pPr>
        <w:ind w:firstLine="1365" w:firstLineChars="650"/>
        <w:rPr>
          <w:rFonts w:hint="eastAsia" w:ascii="微软雅黑" w:hAnsi="微软雅黑" w:eastAsia="微软雅黑"/>
          <w:szCs w:val="21"/>
        </w:rPr>
      </w:pPr>
    </w:p>
    <w:p>
      <w:pPr>
        <w:rPr>
          <w:rFonts w:hint="eastAsia" w:ascii="微软雅黑" w:hAnsi="微软雅黑" w:eastAsia="微软雅黑"/>
          <w:b w:val="0"/>
          <w:bCs w:val="0"/>
        </w:rPr>
      </w:pPr>
      <w:r>
        <w:rPr>
          <w:rFonts w:hint="eastAsia" w:ascii="微软雅黑" w:hAnsi="微软雅黑" w:eastAsia="微软雅黑"/>
          <w:b w:val="0"/>
          <w:bCs w:val="0"/>
        </w:rPr>
        <w:t>16:20-17:00  现场提问交流、活动结束</w:t>
      </w:r>
    </w:p>
    <w:p>
      <w:pPr>
        <w:rPr>
          <w:rFonts w:hint="eastAsia" w:ascii="微软雅黑" w:hAnsi="微软雅黑" w:eastAsia="微软雅黑"/>
          <w:b/>
        </w:rPr>
      </w:pPr>
    </w:p>
    <w:p>
      <w:pPr>
        <w:ind w:right="420"/>
        <w:jc w:val="left"/>
        <w:rPr>
          <w:rFonts w:hint="eastAsia" w:ascii="微软雅黑" w:hAnsi="微软雅黑" w:eastAsia="微软雅黑"/>
          <w:b/>
          <w:szCs w:val="21"/>
          <w:lang w:eastAsia="zh-CN"/>
        </w:rPr>
      </w:pPr>
      <w:r>
        <w:rPr>
          <w:rFonts w:hint="eastAsia" w:ascii="微软雅黑" w:hAnsi="微软雅黑" w:eastAsia="微软雅黑"/>
          <w:b/>
          <w:szCs w:val="21"/>
          <w:lang w:eastAsia="zh-CN"/>
        </w:rPr>
        <w:t>相关介绍：</w:t>
      </w:r>
    </w:p>
    <w:p>
      <w:pPr>
        <w:ind w:right="420"/>
        <w:jc w:val="left"/>
        <w:rPr>
          <w:rFonts w:ascii="微软雅黑" w:hAnsi="微软雅黑" w:eastAsia="微软雅黑"/>
        </w:rPr>
      </w:pPr>
      <w:r>
        <w:rPr>
          <w:rFonts w:hint="eastAsia" w:ascii="微软雅黑" w:hAnsi="微软雅黑" w:eastAsia="微软雅黑"/>
          <w:b/>
          <w:szCs w:val="21"/>
        </w:rPr>
        <w:t>教育公益联盟</w:t>
      </w:r>
      <w:r>
        <w:rPr>
          <w:rFonts w:hint="eastAsia" w:ascii="微软雅黑" w:hAnsi="微软雅黑" w:eastAsia="微软雅黑"/>
        </w:rPr>
        <w:t>凝聚全国教育及公益事业资源，形成跨领域、跨区域教育公益文化合作体，充分发挥各机构核心优势，合力解决对当前中国教育及中国教育公益发展中存在的问题。联盟集合了中国百余家教育公益机构和项目团队</w:t>
      </w:r>
      <w:r>
        <w:rPr>
          <w:rFonts w:hint="eastAsia"/>
        </w:rPr>
        <w:t>。</w:t>
      </w:r>
      <w:r>
        <w:rPr>
          <w:rFonts w:hint="eastAsia" w:ascii="微软雅黑" w:hAnsi="微软雅黑" w:eastAsia="微软雅黑"/>
        </w:rPr>
        <w:t>联盟工作委员会作为执行机构，由21世纪教育研究院、好未来公益基金会、北京新东方公益基金会、中国扶贫基金会、西部阳光农村发展基金会、桂馨基金会、蒙牛集团、耐克体育公益部、21世纪经济报道9家机构组成。</w:t>
      </w:r>
    </w:p>
    <w:p>
      <w:pPr>
        <w:ind w:right="420"/>
        <w:jc w:val="both"/>
        <w:rPr>
          <w:rFonts w:ascii="微软雅黑" w:hAnsi="微软雅黑" w:eastAsia="微软雅黑"/>
        </w:rPr>
      </w:pPr>
    </w:p>
    <w:p>
      <w:pPr>
        <w:ind w:right="420"/>
        <w:jc w:val="left"/>
        <w:rPr>
          <w:rFonts w:ascii="微软雅黑" w:hAnsi="微软雅黑" w:eastAsia="微软雅黑"/>
        </w:rPr>
      </w:pPr>
      <w:r>
        <w:rPr>
          <w:rFonts w:hint="eastAsia" w:ascii="微软雅黑" w:hAnsi="微软雅黑" w:eastAsia="微软雅黑"/>
          <w:b/>
          <w:szCs w:val="21"/>
        </w:rPr>
        <w:t>桂馨基金会</w:t>
      </w:r>
      <w:r>
        <w:rPr>
          <w:rFonts w:hint="eastAsia" w:ascii="微软雅黑" w:hAnsi="微软雅黑" w:eastAsia="微软雅黑"/>
        </w:rPr>
        <w:t>是一家2008年在北京市民政局注册，关注中国欠发达地区基础教育的公益慈善机构。基金会遵循平等、互助的原则，以务实和专业的方式，致力于中国贫困地区教育环境的改善，促进教育公平与可持续发展。2012年9月，桂馨教育基金有限公司（简称：香港桂馨）正式在香港取得慈善团体资格。秉持强烈的使命感、责任心和专业精神，桂馨基金会力求成为一家专业、有公信力和影响力的教育公益机构。</w:t>
      </w:r>
    </w:p>
    <w:p>
      <w:pPr>
        <w:rPr>
          <w:rFonts w:hint="eastAsia" w:ascii="微软雅黑" w:hAnsi="微软雅黑" w:eastAsia="微软雅黑"/>
          <w:b/>
        </w:rPr>
      </w:pPr>
    </w:p>
    <w:p>
      <w:pPr>
        <w:rPr>
          <w:rFonts w:hint="eastAsia" w:ascii="微软雅黑" w:hAnsi="微软雅黑" w:eastAsia="微软雅黑"/>
          <w:b/>
        </w:rPr>
      </w:pPr>
      <w:r>
        <w:rPr>
          <w:rFonts w:hint="eastAsia" w:ascii="微软雅黑" w:hAnsi="微软雅黑" w:eastAsia="微软雅黑"/>
          <w:b/>
        </w:rPr>
        <w:t>报名参与：</w:t>
      </w:r>
    </w:p>
    <w:p>
      <w:pPr>
        <w:rPr>
          <w:rFonts w:hint="eastAsia" w:ascii="微软雅黑" w:hAnsi="微软雅黑" w:eastAsia="微软雅黑"/>
          <w:b w:val="0"/>
          <w:bCs/>
          <w:lang w:eastAsia="zh-CN"/>
        </w:rPr>
      </w:pPr>
      <w:r>
        <w:rPr>
          <w:rFonts w:hint="eastAsia" w:ascii="微软雅黑" w:hAnsi="微软雅黑" w:eastAsia="微软雅黑"/>
          <w:b w:val="0"/>
          <w:bCs/>
        </w:rPr>
        <w:t>报名截止1</w:t>
      </w:r>
      <w:r>
        <w:rPr>
          <w:rFonts w:hint="eastAsia" w:ascii="微软雅黑" w:hAnsi="微软雅黑" w:eastAsia="微软雅黑"/>
          <w:b w:val="0"/>
          <w:bCs/>
          <w:lang w:val="en-US" w:eastAsia="zh-CN"/>
        </w:rPr>
        <w:t>2</w:t>
      </w:r>
      <w:r>
        <w:rPr>
          <w:rFonts w:hint="eastAsia" w:ascii="微软雅黑" w:hAnsi="微软雅黑" w:eastAsia="微软雅黑"/>
          <w:b w:val="0"/>
          <w:bCs/>
        </w:rPr>
        <w:t>月</w:t>
      </w:r>
      <w:r>
        <w:rPr>
          <w:rFonts w:hint="eastAsia" w:ascii="微软雅黑" w:hAnsi="微软雅黑" w:eastAsia="微软雅黑"/>
          <w:b w:val="0"/>
          <w:bCs/>
          <w:lang w:val="en-US" w:eastAsia="zh-CN"/>
        </w:rPr>
        <w:t>7</w:t>
      </w:r>
      <w:r>
        <w:rPr>
          <w:rFonts w:hint="eastAsia" w:ascii="微软雅黑" w:hAnsi="微软雅黑" w:eastAsia="微软雅黑"/>
          <w:b w:val="0"/>
          <w:bCs/>
        </w:rPr>
        <w:t>日晚</w:t>
      </w:r>
      <w:bookmarkStart w:id="0" w:name="_GoBack"/>
      <w:bookmarkEnd w:id="0"/>
      <w:r>
        <w:rPr>
          <w:rFonts w:hint="eastAsia" w:ascii="微软雅黑" w:hAnsi="微软雅黑" w:eastAsia="微软雅黑"/>
          <w:b w:val="0"/>
          <w:bCs/>
          <w:lang w:val="en-US" w:eastAsia="zh-CN"/>
        </w:rPr>
        <w:t>18</w:t>
      </w:r>
      <w:r>
        <w:rPr>
          <w:rFonts w:hint="eastAsia" w:ascii="微软雅黑" w:hAnsi="微软雅黑" w:eastAsia="微软雅黑"/>
          <w:b w:val="0"/>
          <w:bCs/>
        </w:rPr>
        <w:t>:00</w:t>
      </w:r>
      <w:r>
        <w:rPr>
          <w:rFonts w:hint="eastAsia" w:ascii="微软雅黑" w:hAnsi="微软雅黑" w:eastAsia="微软雅黑"/>
          <w:b w:val="0"/>
          <w:bCs/>
          <w:lang w:eastAsia="zh-CN"/>
        </w:rPr>
        <w:t>。</w:t>
      </w:r>
      <w:r>
        <w:rPr>
          <w:rFonts w:hint="eastAsia" w:ascii="微软雅黑" w:hAnsi="微软雅黑" w:eastAsia="微软雅黑"/>
          <w:b w:val="0"/>
          <w:bCs/>
        </w:rPr>
        <w:t>本次沙龙无需费用，</w:t>
      </w:r>
      <w:r>
        <w:rPr>
          <w:rFonts w:hint="eastAsia" w:ascii="微软雅黑" w:hAnsi="微软雅黑" w:eastAsia="微软雅黑"/>
          <w:b w:val="0"/>
          <w:bCs/>
          <w:lang w:eastAsia="zh-CN"/>
        </w:rPr>
        <w:t>名额为</w:t>
      </w:r>
      <w:r>
        <w:rPr>
          <w:rFonts w:hint="eastAsia" w:ascii="微软雅黑" w:hAnsi="微软雅黑" w:eastAsia="微软雅黑"/>
          <w:b w:val="0"/>
          <w:bCs/>
          <w:lang w:val="en-US" w:eastAsia="zh-CN"/>
        </w:rPr>
        <w:t>70名，先报先得。</w:t>
      </w:r>
      <w:r>
        <w:rPr>
          <w:rFonts w:hint="eastAsia" w:ascii="微软雅黑" w:hAnsi="微软雅黑" w:eastAsia="微软雅黑"/>
          <w:b w:val="0"/>
          <w:bCs/>
          <w:lang w:eastAsia="zh-CN"/>
        </w:rPr>
        <w:t>如您有意参加活动，请点击下面链接进入报名页面：</w:t>
      </w:r>
      <w:r>
        <w:rPr>
          <w:rFonts w:hint="eastAsia" w:ascii="微软雅黑" w:hAnsi="微软雅黑" w:eastAsia="微软雅黑"/>
          <w:b w:val="0"/>
          <w:bCs/>
          <w:lang w:eastAsia="zh-CN"/>
        </w:rPr>
        <w:fldChar w:fldCharType="begin"/>
      </w:r>
      <w:r>
        <w:rPr>
          <w:rFonts w:hint="eastAsia" w:ascii="微软雅黑" w:hAnsi="微软雅黑" w:eastAsia="微软雅黑"/>
          <w:b w:val="0"/>
          <w:bCs/>
          <w:lang w:eastAsia="zh-CN"/>
        </w:rPr>
        <w:instrText xml:space="preserve"> HYPERLINK "http://f.lingxi360.com/f/cnq839" </w:instrText>
      </w:r>
      <w:r>
        <w:rPr>
          <w:rFonts w:hint="eastAsia" w:ascii="微软雅黑" w:hAnsi="微软雅黑" w:eastAsia="微软雅黑"/>
          <w:b w:val="0"/>
          <w:bCs/>
          <w:lang w:eastAsia="zh-CN"/>
        </w:rPr>
        <w:fldChar w:fldCharType="separate"/>
      </w:r>
      <w:r>
        <w:rPr>
          <w:rStyle w:val="6"/>
          <w:rFonts w:hint="eastAsia" w:ascii="微软雅黑" w:hAnsi="微软雅黑" w:eastAsia="微软雅黑"/>
          <w:b w:val="0"/>
          <w:bCs/>
          <w:lang w:eastAsia="zh-CN"/>
        </w:rPr>
        <w:t>http://f.lingxi360.com/f/cnq839</w:t>
      </w:r>
      <w:r>
        <w:rPr>
          <w:rFonts w:hint="eastAsia" w:ascii="微软雅黑" w:hAnsi="微软雅黑" w:eastAsia="微软雅黑"/>
          <w:b w:val="0"/>
          <w:bCs/>
          <w:lang w:eastAsia="zh-CN"/>
        </w:rPr>
        <w:fldChar w:fldCharType="end"/>
      </w:r>
    </w:p>
    <w:p>
      <w:pPr>
        <w:rPr>
          <w:rFonts w:hint="eastAsia" w:ascii="微软雅黑" w:hAnsi="微软雅黑" w:eastAsia="微软雅黑"/>
          <w:b w:val="0"/>
          <w:bCs/>
          <w:lang w:eastAsia="zh-CN"/>
        </w:rPr>
      </w:pPr>
    </w:p>
    <w:p>
      <w:pPr>
        <w:rPr>
          <w:rFonts w:hint="eastAsia" w:ascii="微软雅黑" w:hAnsi="微软雅黑" w:eastAsia="微软雅黑"/>
          <w:b w:val="0"/>
          <w:bCs/>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E10002FF" w:usb1="4000ACFF" w:usb2="00000009" w:usb3="00000000" w:csb0="2000019F" w:csb1="00000000"/>
  </w:font>
  <w:font w:name="微软雅黑">
    <w:panose1 w:val="020B0503020204020204"/>
    <w:charset w:val="86"/>
    <w:family w:val="modern"/>
    <w:pitch w:val="default"/>
    <w:sig w:usb0="80000287" w:usb1="280F3C52" w:usb2="00000016" w:usb3="00000000" w:csb0="0004001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STHei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decorative"/>
    <w:pitch w:val="default"/>
    <w:sig w:usb0="80000287" w:usb1="280F3C52" w:usb2="00000016" w:usb3="00000000" w:csb0="0004001F" w:csb1="00000000"/>
  </w:font>
  <w:font w:name="微软雅黑">
    <w:panose1 w:val="020B0503020204020204"/>
    <w:charset w:val="86"/>
    <w:family w:val="roman"/>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rPr>
        <w:rFonts w:hint="eastAsia" w:ascii="微软雅黑" w:hAnsi="微软雅黑" w:eastAsia="微软雅黑" w:cs="Calibri"/>
        <w:b/>
        <w:sz w:val="36"/>
        <w:szCs w:val="36"/>
      </w:rPr>
      <w:t>教育公益联盟2015年度第八期沙龙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A8"/>
    <w:rsid w:val="00001D82"/>
    <w:rsid w:val="00017F3E"/>
    <w:rsid w:val="00055D06"/>
    <w:rsid w:val="00066E1D"/>
    <w:rsid w:val="00076A8E"/>
    <w:rsid w:val="00081A06"/>
    <w:rsid w:val="000F732A"/>
    <w:rsid w:val="0010213D"/>
    <w:rsid w:val="0019669A"/>
    <w:rsid w:val="001B68B6"/>
    <w:rsid w:val="001D209B"/>
    <w:rsid w:val="00217462"/>
    <w:rsid w:val="002178FD"/>
    <w:rsid w:val="00284830"/>
    <w:rsid w:val="002E658C"/>
    <w:rsid w:val="002F4B34"/>
    <w:rsid w:val="003231B6"/>
    <w:rsid w:val="00342BE4"/>
    <w:rsid w:val="0035110E"/>
    <w:rsid w:val="00356B8F"/>
    <w:rsid w:val="00372CC4"/>
    <w:rsid w:val="00391806"/>
    <w:rsid w:val="003E1034"/>
    <w:rsid w:val="003F2ED6"/>
    <w:rsid w:val="00413DE1"/>
    <w:rsid w:val="00442FBC"/>
    <w:rsid w:val="00450AE1"/>
    <w:rsid w:val="00481F8E"/>
    <w:rsid w:val="004A41EF"/>
    <w:rsid w:val="004D2B7C"/>
    <w:rsid w:val="004E2E47"/>
    <w:rsid w:val="004E72D2"/>
    <w:rsid w:val="005014DE"/>
    <w:rsid w:val="0052345C"/>
    <w:rsid w:val="00537307"/>
    <w:rsid w:val="00540D57"/>
    <w:rsid w:val="00550E36"/>
    <w:rsid w:val="005672A3"/>
    <w:rsid w:val="005E1839"/>
    <w:rsid w:val="00610D58"/>
    <w:rsid w:val="00617AEB"/>
    <w:rsid w:val="006A2E9C"/>
    <w:rsid w:val="006B6924"/>
    <w:rsid w:val="006F62A3"/>
    <w:rsid w:val="00721C72"/>
    <w:rsid w:val="007306C4"/>
    <w:rsid w:val="00765A9D"/>
    <w:rsid w:val="0077685F"/>
    <w:rsid w:val="00787CFC"/>
    <w:rsid w:val="007B65FD"/>
    <w:rsid w:val="007C0BF3"/>
    <w:rsid w:val="007E6206"/>
    <w:rsid w:val="007F2867"/>
    <w:rsid w:val="00803668"/>
    <w:rsid w:val="00851BA5"/>
    <w:rsid w:val="00852CC7"/>
    <w:rsid w:val="00860DC1"/>
    <w:rsid w:val="008B7C2E"/>
    <w:rsid w:val="008D4390"/>
    <w:rsid w:val="008D55BC"/>
    <w:rsid w:val="00927B62"/>
    <w:rsid w:val="00971CAB"/>
    <w:rsid w:val="00991B19"/>
    <w:rsid w:val="009B4C42"/>
    <w:rsid w:val="009C29CA"/>
    <w:rsid w:val="00A03650"/>
    <w:rsid w:val="00A15E67"/>
    <w:rsid w:val="00A278EE"/>
    <w:rsid w:val="00A74ACA"/>
    <w:rsid w:val="00A97E1F"/>
    <w:rsid w:val="00AB44A8"/>
    <w:rsid w:val="00AF5C48"/>
    <w:rsid w:val="00B17B88"/>
    <w:rsid w:val="00B31332"/>
    <w:rsid w:val="00BA4B29"/>
    <w:rsid w:val="00BA4D40"/>
    <w:rsid w:val="00BD0B70"/>
    <w:rsid w:val="00BD4377"/>
    <w:rsid w:val="00BE0FE0"/>
    <w:rsid w:val="00C03E42"/>
    <w:rsid w:val="00C2146E"/>
    <w:rsid w:val="00C323CF"/>
    <w:rsid w:val="00C82174"/>
    <w:rsid w:val="00C84BEC"/>
    <w:rsid w:val="00D1704E"/>
    <w:rsid w:val="00D34F09"/>
    <w:rsid w:val="00D74803"/>
    <w:rsid w:val="00DA59DB"/>
    <w:rsid w:val="00DD116F"/>
    <w:rsid w:val="00DF7F6F"/>
    <w:rsid w:val="00E940E5"/>
    <w:rsid w:val="00EF62F9"/>
    <w:rsid w:val="00F10FDC"/>
    <w:rsid w:val="00F22300"/>
    <w:rsid w:val="00F26D4E"/>
    <w:rsid w:val="00F33427"/>
    <w:rsid w:val="00F36528"/>
    <w:rsid w:val="00F53B84"/>
    <w:rsid w:val="00F546F3"/>
    <w:rsid w:val="00FA0336"/>
    <w:rsid w:val="00FC4624"/>
    <w:rsid w:val="00FC4D16"/>
    <w:rsid w:val="00FD4AED"/>
    <w:rsid w:val="037441B6"/>
    <w:rsid w:val="275708ED"/>
    <w:rsid w:val="2E1B3EB1"/>
    <w:rsid w:val="2F15794C"/>
    <w:rsid w:val="3E912D31"/>
    <w:rsid w:val="4D836A7D"/>
    <w:rsid w:val="742D176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5"/>
    <w:unhideWhenUsed/>
    <w:uiPriority w:val="99"/>
    <w:rPr>
      <w:sz w:val="18"/>
      <w:szCs w:val="18"/>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single"/>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
    <w:name w:val="Light Shading Accent 1"/>
    <w:basedOn w:val="7"/>
    <w:qFormat/>
    <w:uiPriority w:val="60"/>
    <w:rPr>
      <w:color w:val="376092" w:themeColor="accent1" w:themeShade="BF"/>
    </w:rPr>
    <w:tblPr>
      <w:tblBorders>
        <w:top w:val="single" w:color="4F81BD" w:themeColor="accent1" w:sz="8" w:space="0"/>
        <w:bottom w:val="single" w:color="4F81BD" w:themeColor="accent1" w:sz="8" w:space="0"/>
      </w:tblBorders>
      <w:tblLayout w:type="fixed"/>
    </w:tblPr>
    <w:tblStylePr w:type="fir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left w:val="nil"/>
          <w:right w:val="nil"/>
          <w:insideH w:val="nil"/>
          <w:insideV w:val="nil"/>
        </w:tcBorders>
        <w:shd w:val="clear" w:color="auto" w:fill="D3DFEE" w:themeFill="accent1" w:themeFillTint="3F"/>
      </w:tcPr>
    </w:tblStylePr>
  </w:style>
  <w:style w:type="table" w:styleId="10">
    <w:name w:val="Light Shading Accent 2"/>
    <w:basedOn w:val="7"/>
    <w:qFormat/>
    <w:uiPriority w:val="60"/>
    <w:rPr>
      <w:color w:val="953735" w:themeColor="accent2" w:themeShade="BF"/>
    </w:rPr>
    <w:tblPr>
      <w:tblBorders>
        <w:top w:val="single" w:color="C0504D" w:themeColor="accent2" w:sz="8" w:space="0"/>
        <w:bottom w:val="single" w:color="C0504D" w:themeColor="accent2" w:sz="8" w:space="0"/>
      </w:tblBorders>
      <w:tblLayout w:type="fixed"/>
    </w:tblPr>
    <w:tblStylePr w:type="fir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FD3D3" w:themeFill="accent2" w:themeFillTint="3F"/>
      </w:tcPr>
    </w:tblStylePr>
    <w:tblStylePr w:type="band1Horz">
      <w:tblPr>
        <w:tblLayout w:type="fixed"/>
      </w:tblPr>
      <w:tcPr>
        <w:tcBorders>
          <w:left w:val="nil"/>
          <w:right w:val="nil"/>
          <w:insideH w:val="nil"/>
          <w:insideV w:val="nil"/>
        </w:tcBorders>
        <w:shd w:val="clear" w:color="auto" w:fill="EFD3D3" w:themeFill="accent2" w:themeFillTint="3F"/>
      </w:tcPr>
    </w:tblStylePr>
  </w:style>
  <w:style w:type="table" w:styleId="11">
    <w:name w:val="Light Shading Accent 3"/>
    <w:basedOn w:val="7"/>
    <w:qFormat/>
    <w:uiPriority w:val="60"/>
    <w:rPr>
      <w:color w:val="77933C" w:themeColor="accent3" w:themeShade="BF"/>
    </w:rPr>
    <w:tblPr>
      <w:tblBorders>
        <w:top w:val="single" w:color="9BBB59" w:themeColor="accent3" w:sz="8" w:space="0"/>
        <w:bottom w:val="single" w:color="9BBB59" w:themeColor="accent3" w:sz="8" w:space="0"/>
      </w:tblBorders>
      <w:tblLayout w:type="fixed"/>
    </w:tblPr>
    <w:tblStylePr w:type="fir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left w:val="nil"/>
          <w:right w:val="nil"/>
          <w:insideH w:val="nil"/>
          <w:insideV w:val="nil"/>
        </w:tcBorders>
        <w:shd w:val="clear" w:color="auto" w:fill="E6EED5" w:themeFill="accent3" w:themeFillTint="3F"/>
      </w:tcPr>
    </w:tblStylePr>
  </w:style>
  <w:style w:type="table" w:styleId="12">
    <w:name w:val="Light Shading Accent 5"/>
    <w:basedOn w:val="7"/>
    <w:qFormat/>
    <w:uiPriority w:val="60"/>
    <w:rPr>
      <w:color w:val="31859C" w:themeColor="accent5" w:themeShade="BF"/>
    </w:rPr>
    <w:tblPr>
      <w:tblBorders>
        <w:top w:val="single" w:color="4BACC6" w:themeColor="accent5" w:sz="8" w:space="0"/>
        <w:bottom w:val="single" w:color="4BACC6" w:themeColor="accent5" w:sz="8" w:space="0"/>
      </w:tblBorders>
      <w:tblLayout w:type="fixed"/>
    </w:tblPr>
    <w:tblStylePr w:type="fir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2EAF0" w:themeFill="accent5" w:themeFillTint="3F"/>
      </w:tcPr>
    </w:tblStylePr>
    <w:tblStylePr w:type="band1Horz">
      <w:tblPr>
        <w:tblLayout w:type="fixed"/>
      </w:tblPr>
      <w:tcPr>
        <w:tcBorders>
          <w:left w:val="nil"/>
          <w:right w:val="nil"/>
          <w:insideH w:val="nil"/>
          <w:insideV w:val="nil"/>
        </w:tcBorders>
        <w:shd w:val="clear" w:color="auto" w:fill="D2EAF0" w:themeFill="accent5" w:themeFillTint="3F"/>
      </w:tcPr>
    </w:tblStylePr>
  </w:style>
  <w:style w:type="character" w:customStyle="1" w:styleId="13">
    <w:name w:val="页眉 Char"/>
    <w:basedOn w:val="5"/>
    <w:link w:val="4"/>
    <w:uiPriority w:val="99"/>
    <w:rPr>
      <w:sz w:val="18"/>
      <w:szCs w:val="18"/>
    </w:rPr>
  </w:style>
  <w:style w:type="character" w:customStyle="1" w:styleId="14">
    <w:name w:val="页脚 Char"/>
    <w:basedOn w:val="5"/>
    <w:link w:val="3"/>
    <w:uiPriority w:val="99"/>
    <w:rPr>
      <w:sz w:val="18"/>
      <w:szCs w:val="18"/>
    </w:rPr>
  </w:style>
  <w:style w:type="character" w:customStyle="1" w:styleId="15">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432F96-4E99-4464-8600-C1A605DC82E7}">
  <ds:schemaRefs/>
</ds:datastoreItem>
</file>

<file path=docProps/app.xml><?xml version="1.0" encoding="utf-8"?>
<Properties xmlns="http://schemas.openxmlformats.org/officeDocument/2006/extended-properties" xmlns:vt="http://schemas.openxmlformats.org/officeDocument/2006/docPropsVTypes">
  <Template>Normal</Template>
  <Pages>2</Pages>
  <Words>137</Words>
  <Characters>786</Characters>
  <Lines>6</Lines>
  <Paragraphs>1</Paragraphs>
  <ScaleCrop>false</ScaleCrop>
  <LinksUpToDate>false</LinksUpToDate>
  <CharactersWithSpaces>922</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2015-11-06T02:20:00Z</dcterms:created>
  <dc:creator>Administrator</dc:creator>
  <cp:lastModifiedBy>Administrator</cp:lastModifiedBy>
  <cp:lastPrinted>2015-11-23T02:51:00Z</cp:lastPrinted>
  <dcterms:modified xsi:type="dcterms:W3CDTF">2015-11-24T08:19:45Z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